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SimSun"/>
          <w:b/>
          <w:bCs/>
          <w:color w:val="212529"/>
          <w:sz w:val="20"/>
          <w:szCs w:val="20"/>
          <w:lang w:val="en-US" w:eastAsia="zh-CN" w:bidi="ar"/>
        </w:rPr>
      </w:pPr>
      <w:r>
        <w:rPr>
          <w:rFonts w:hint="default" w:eastAsia="SimSun"/>
          <w:b/>
          <w:bCs/>
          <w:color w:val="212529"/>
          <w:sz w:val="20"/>
          <w:szCs w:val="20"/>
          <w:lang w:val="pt-BR" w:eastAsia="zh-CN" w:bidi="ar"/>
        </w:rPr>
        <w:t xml:space="preserve">Em alusão: </w:t>
      </w:r>
      <w:r>
        <w:rPr>
          <w:rFonts w:eastAsia="SimSun"/>
          <w:b/>
          <w:bCs/>
          <w:color w:val="212529"/>
          <w:sz w:val="20"/>
          <w:szCs w:val="20"/>
          <w:lang w:val="en-US" w:eastAsia="zh-CN" w:bidi="ar"/>
        </w:rPr>
        <w:t>08</w:t>
      </w:r>
      <w:r>
        <w:rPr>
          <w:rFonts w:eastAsia="SimSun"/>
          <w:b/>
          <w:bCs/>
          <w:color w:val="212529"/>
          <w:sz w:val="20"/>
          <w:szCs w:val="20"/>
          <w:lang w:eastAsia="zh-CN" w:bidi="ar"/>
        </w:rPr>
        <w:t xml:space="preserve"> de Agosto </w:t>
      </w:r>
      <w:r>
        <w:rPr>
          <w:rFonts w:eastAsia="SimSun"/>
          <w:b/>
          <w:bCs/>
          <w:color w:val="212529"/>
          <w:sz w:val="20"/>
          <w:szCs w:val="20"/>
          <w:lang w:val="en-US" w:eastAsia="zh-CN" w:bidi="ar"/>
        </w:rPr>
        <w:t xml:space="preserve"> –  Dia Nacional de Prevenção e Controle do Colesterol </w:t>
      </w:r>
    </w:p>
    <w:p>
      <w:pPr>
        <w:widowControl w:val="0"/>
        <w:spacing w:line="300" w:lineRule="auto"/>
        <w:jc w:val="both"/>
        <w:rPr>
          <w:b/>
          <w:bCs/>
          <w:color w:val="auto"/>
          <w:sz w:val="24"/>
          <w:szCs w:val="24"/>
        </w:rPr>
      </w:pPr>
    </w:p>
    <w:p>
      <w:pPr>
        <w:widowControl w:val="0"/>
        <w:spacing w:line="300" w:lineRule="auto"/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p>
      <w:pPr>
        <w:widowControl w:val="0"/>
        <w:spacing w:line="300" w:lineRule="auto"/>
        <w:jc w:val="center"/>
        <w:rPr>
          <w:b/>
          <w:bCs/>
          <w:sz w:val="20"/>
          <w:szCs w:val="20"/>
          <w:highlight w:val="none"/>
        </w:rPr>
      </w:pPr>
      <w:r>
        <w:rPr>
          <w:rFonts w:eastAsia="SimSun"/>
          <w:b/>
          <w:bCs/>
          <w:color w:val="212529"/>
          <w:sz w:val="24"/>
          <w:szCs w:val="24"/>
          <w:lang w:val="en-US" w:eastAsia="zh-CN" w:bidi="ar"/>
        </w:rPr>
        <w:t>Prevenção e Controle do Colesterol</w:t>
      </w:r>
      <w:r>
        <w:rPr>
          <w:rFonts w:hint="default" w:eastAsia="SimSun"/>
          <w:b/>
          <w:bCs/>
          <w:color w:val="212529"/>
          <w:sz w:val="24"/>
          <w:szCs w:val="24"/>
          <w:lang w:val="pt-BR" w:eastAsia="zh-CN" w:bidi="ar"/>
        </w:rPr>
        <w:t>: u</w:t>
      </w:r>
      <w:r>
        <w:rPr>
          <w:b/>
          <w:bCs/>
          <w:color w:val="auto"/>
          <w:sz w:val="24"/>
          <w:szCs w:val="24"/>
          <w:highlight w:val="none"/>
        </w:rPr>
        <w:t>m alerta para sua saúde</w:t>
      </w:r>
    </w:p>
    <w:p>
      <w:pPr>
        <w:pStyle w:val="2"/>
        <w:spacing w:before="92" w:line="360" w:lineRule="auto"/>
        <w:ind w:left="0"/>
        <w:jc w:val="both"/>
        <w:rPr>
          <w:rFonts w:hint="default"/>
          <w:b/>
          <w:bCs/>
          <w:sz w:val="16"/>
          <w:szCs w:val="16"/>
          <w:highlight w:val="none"/>
          <w:lang w:val="pt-BR"/>
        </w:rPr>
      </w:pPr>
    </w:p>
    <w:p>
      <w:pPr>
        <w:pStyle w:val="2"/>
        <w:spacing w:before="92" w:line="360" w:lineRule="auto"/>
        <w:ind w:left="0"/>
        <w:jc w:val="both"/>
        <w:rPr>
          <w:rFonts w:hint="default"/>
          <w:b w:val="0"/>
          <w:bCs w:val="0"/>
          <w:sz w:val="16"/>
          <w:szCs w:val="16"/>
          <w:highlight w:val="none"/>
          <w:lang w:val="pt-BR"/>
        </w:rPr>
      </w:pPr>
      <w:r>
        <w:rPr>
          <w:rFonts w:hint="default"/>
          <w:b/>
          <w:bCs/>
          <w:sz w:val="16"/>
          <w:szCs w:val="16"/>
          <w:highlight w:val="none"/>
          <w:lang w:val="pt-BR"/>
        </w:rPr>
        <w:t xml:space="preserve">Autoras: </w:t>
      </w:r>
      <w:r>
        <w:rPr>
          <w:b w:val="0"/>
          <w:bCs w:val="0"/>
          <w:sz w:val="16"/>
          <w:szCs w:val="16"/>
          <w:highlight w:val="none"/>
        </w:rPr>
        <w:t>Marina Mendes – Coordenadora de Atenção à Saúde do Departamento de Qualidade de Vida</w:t>
      </w:r>
      <w:r>
        <w:rPr>
          <w:rFonts w:hint="default"/>
          <w:b w:val="0"/>
          <w:bCs w:val="0"/>
          <w:sz w:val="16"/>
          <w:szCs w:val="16"/>
          <w:highlight w:val="none"/>
          <w:lang w:val="pt-BR"/>
        </w:rPr>
        <w:t xml:space="preserve"> (</w:t>
      </w:r>
      <w:r>
        <w:rPr>
          <w:b w:val="0"/>
          <w:bCs w:val="0"/>
          <w:sz w:val="16"/>
          <w:szCs w:val="16"/>
          <w:highlight w:val="none"/>
        </w:rPr>
        <w:t>UFRPE</w:t>
      </w:r>
      <w:r>
        <w:rPr>
          <w:rFonts w:hint="default"/>
          <w:b w:val="0"/>
          <w:bCs w:val="0"/>
          <w:sz w:val="16"/>
          <w:szCs w:val="16"/>
          <w:highlight w:val="none"/>
          <w:lang w:val="pt-BR"/>
        </w:rPr>
        <w:t xml:space="preserve">), </w:t>
      </w:r>
      <w:r>
        <w:rPr>
          <w:b w:val="0"/>
          <w:bCs w:val="0"/>
          <w:sz w:val="16"/>
          <w:szCs w:val="16"/>
          <w:lang w:val="pt-BR"/>
        </w:rPr>
        <w:t>Doutora em Saúde Internacional - Universidade Nova de Lisboa - UNL/IHMT.</w:t>
      </w:r>
    </w:p>
    <w:p>
      <w:pPr>
        <w:widowControl w:val="0"/>
        <w:spacing w:line="300" w:lineRule="auto"/>
        <w:jc w:val="both"/>
        <w:rPr>
          <w:b w:val="0"/>
          <w:bCs w:val="0"/>
          <w:sz w:val="16"/>
          <w:szCs w:val="16"/>
          <w:highlight w:val="none"/>
        </w:rPr>
      </w:pPr>
      <w:r>
        <w:rPr>
          <w:b w:val="0"/>
          <w:bCs w:val="0"/>
          <w:sz w:val="16"/>
          <w:szCs w:val="16"/>
          <w:highlight w:val="none"/>
        </w:rPr>
        <w:t>Vilma Maria Silva – Médica Ginecologista do Departamento de Qualidade de Vida</w:t>
      </w:r>
      <w:r>
        <w:rPr>
          <w:rFonts w:hint="default"/>
          <w:b w:val="0"/>
          <w:bCs w:val="0"/>
          <w:sz w:val="16"/>
          <w:szCs w:val="16"/>
          <w:highlight w:val="none"/>
          <w:lang w:val="pt-BR"/>
        </w:rPr>
        <w:t xml:space="preserve"> (</w:t>
      </w:r>
      <w:r>
        <w:rPr>
          <w:b w:val="0"/>
          <w:bCs w:val="0"/>
          <w:sz w:val="16"/>
          <w:szCs w:val="16"/>
          <w:highlight w:val="none"/>
        </w:rPr>
        <w:t>UFRPE</w:t>
      </w:r>
      <w:r>
        <w:rPr>
          <w:rFonts w:hint="default"/>
          <w:b w:val="0"/>
          <w:bCs w:val="0"/>
          <w:sz w:val="16"/>
          <w:szCs w:val="16"/>
          <w:highlight w:val="none"/>
          <w:lang w:val="pt-BR"/>
        </w:rPr>
        <w:t>)</w:t>
      </w:r>
      <w:r>
        <w:rPr>
          <w:b w:val="0"/>
          <w:bCs w:val="0"/>
          <w:sz w:val="16"/>
          <w:szCs w:val="16"/>
          <w:highlight w:val="none"/>
        </w:rPr>
        <w:t>,</w:t>
      </w:r>
      <w:r>
        <w:rPr>
          <w:rFonts w:hint="default"/>
          <w:b w:val="0"/>
          <w:bCs w:val="0"/>
          <w:sz w:val="16"/>
          <w:szCs w:val="16"/>
          <w:highlight w:val="none"/>
          <w:lang w:val="pt-BR"/>
        </w:rPr>
        <w:t xml:space="preserve"> </w:t>
      </w:r>
      <w:r>
        <w:rPr>
          <w:b w:val="0"/>
          <w:bCs w:val="0"/>
          <w:sz w:val="16"/>
          <w:szCs w:val="16"/>
          <w:highlight w:val="none"/>
        </w:rPr>
        <w:t>Professora de Saúde da Mulher e Sexualidade</w:t>
      </w:r>
      <w:r>
        <w:rPr>
          <w:rFonts w:hint="default"/>
          <w:b w:val="0"/>
          <w:bCs w:val="0"/>
          <w:sz w:val="16"/>
          <w:szCs w:val="16"/>
          <w:highlight w:val="none"/>
          <w:lang w:val="pt-BR"/>
        </w:rPr>
        <w:t xml:space="preserve"> (</w:t>
      </w:r>
      <w:r>
        <w:rPr>
          <w:b w:val="0"/>
          <w:bCs w:val="0"/>
          <w:sz w:val="16"/>
          <w:szCs w:val="16"/>
          <w:highlight w:val="none"/>
        </w:rPr>
        <w:t>UFPE), Mestre e Doutora em Saúde da Criança e do Adolescente (UFPE)</w:t>
      </w:r>
    </w:p>
    <w:p>
      <w:pPr>
        <w:widowControl w:val="0"/>
        <w:spacing w:line="300" w:lineRule="auto"/>
        <w:jc w:val="both"/>
        <w:rPr>
          <w:b w:val="0"/>
          <w:bCs w:val="0"/>
          <w:sz w:val="16"/>
          <w:szCs w:val="16"/>
          <w:highlight w:val="none"/>
        </w:rPr>
      </w:pPr>
    </w:p>
    <w:p>
      <w:pPr>
        <w:rPr>
          <w:rFonts w:eastAsia="SimSun"/>
          <w:b/>
          <w:bCs/>
          <w:color w:val="212529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88" w:lineRule="auto"/>
        <w:jc w:val="both"/>
        <w:textAlignment w:val="auto"/>
        <w:rPr>
          <w:rFonts w:eastAsia="SimSun"/>
          <w:bCs/>
          <w:color w:val="212529"/>
          <w:lang w:eastAsia="zh-CN" w:bidi="ar"/>
        </w:rPr>
      </w:pPr>
      <w:r>
        <w:rPr>
          <w:rFonts w:eastAsia="SimSun"/>
          <w:bCs/>
          <w:color w:val="212529"/>
          <w:highlight w:val="none"/>
          <w:lang w:eastAsia="zh-CN" w:bidi="ar"/>
        </w:rPr>
        <w:t>O termo Síndrome Plurimetabólica descreve um conjunto de fatores de risco que aumentam as chances de desenvolver cardiopatias, infartos, acidente vascular cerebral e diabetes. Tem como base a resistência à ação da insulina (hormônio responsável pelo metabolismo da glicose) e dislipidemias. Alguns fatores contribuem para o seu aparecimento: os genéticos, excesso de peso (principalmente na região abdominal) e a ausência de atividade física. Trata-se de uma doença da civilização moderna, associada à obesidade, como resultado da alimentação inadequada e do sedentarismo</w:t>
      </w:r>
      <w:r>
        <w:rPr>
          <w:rFonts w:hint="default" w:eastAsia="SimSun"/>
          <w:bCs/>
          <w:color w:val="212529"/>
          <w:highlight w:val="none"/>
          <w:lang w:val="pt-BR" w:eastAsia="zh-CN" w:bidi="ar"/>
        </w:rPr>
        <w:t xml:space="preserve"> [1].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88" w:lineRule="auto"/>
        <w:textAlignment w:val="auto"/>
        <w:rPr>
          <w:rFonts w:eastAsia="SimSun"/>
          <w:b/>
          <w:bCs/>
          <w:color w:val="212529"/>
          <w:lang w:eastAsia="zh-CN" w:bidi="ar"/>
        </w:rPr>
      </w:pPr>
    </w:p>
    <w:p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both"/>
        <w:textAlignment w:val="auto"/>
        <w:rPr>
          <w:rFonts w:hint="default" w:ascii="Arial" w:hAnsi="Arial" w:eastAsia="DanteMTStd-Regular" w:cs="Arial"/>
          <w:color w:val="FF0000"/>
          <w:sz w:val="22"/>
          <w:szCs w:val="22"/>
          <w:highlight w:val="none"/>
          <w:lang w:bidi="ar"/>
        </w:rPr>
      </w:pPr>
      <w:r>
        <w:rPr>
          <w:rFonts w:ascii="Arial" w:hAnsi="Arial" w:eastAsia="Segoe UI" w:cs="Arial"/>
          <w:color w:val="212529"/>
          <w:sz w:val="22"/>
          <w:szCs w:val="22"/>
          <w:shd w:val="clear" w:color="auto" w:fill="FFFFFF"/>
        </w:rPr>
        <w:t>O colesterol é um conjunto de gorduras necessárias para o organismo exercer determinadas funções, como a produção de alguns hormônios. Ele é, portanto, importante e precisa ser ingerido de forma equilibrada para que seus níveis se mantenham regulares. Há dois tipos de colesterol: o HDL, considerado “colesterol bom” e o LDL, denominado “colesterol ruim</w:t>
      </w:r>
      <w:r>
        <w:rPr>
          <w:rFonts w:hint="default" w:ascii="Arial" w:hAnsi="Arial" w:eastAsia="Segoe UI" w:cs="Arial"/>
          <w:color w:val="212529"/>
          <w:sz w:val="22"/>
          <w:szCs w:val="22"/>
          <w:shd w:val="clear" w:color="auto" w:fill="FFFFFF"/>
        </w:rPr>
        <w:t xml:space="preserve">”. </w:t>
      </w:r>
      <w:r>
        <w:rPr>
          <w:rFonts w:hint="default" w:ascii="Arial" w:hAnsi="Arial" w:eastAsia="Segoe UI" w:cs="Arial"/>
          <w:color w:val="212529"/>
          <w:sz w:val="22"/>
          <w:szCs w:val="22"/>
          <w:shd w:val="clear" w:color="auto" w:fill="FFFFFF"/>
          <w:lang w:val="pt-BR"/>
        </w:rPr>
        <w:t>P</w:t>
      </w:r>
      <w:r>
        <w:rPr>
          <w:rFonts w:hint="default" w:ascii="Arial" w:hAnsi="Arial" w:eastAsia="DanteMTStd-Regular" w:cs="Arial"/>
          <w:color w:val="000000"/>
          <w:sz w:val="22"/>
          <w:szCs w:val="22"/>
          <w:lang w:bidi="ar"/>
        </w:rPr>
        <w:t>esqu</w:t>
      </w:r>
      <w:r>
        <w:rPr>
          <w:rFonts w:ascii="Arial" w:hAnsi="Arial" w:eastAsia="DanteMTStd-Regular" w:cs="Arial"/>
          <w:color w:val="000000"/>
          <w:sz w:val="22"/>
          <w:szCs w:val="22"/>
          <w:lang w:bidi="ar"/>
        </w:rPr>
        <w:t xml:space="preserve">isas confirmaram associações entre níveis </w:t>
      </w:r>
      <w:r>
        <w:rPr>
          <w:rFonts w:eastAsia="DanteMTStd-Regular" w:cs="Arial"/>
          <w:color w:val="000000"/>
          <w:sz w:val="22"/>
          <w:szCs w:val="22"/>
          <w:lang w:val="pt-BR" w:bidi="ar"/>
        </w:rPr>
        <w:t xml:space="preserve"> </w:t>
      </w:r>
      <w:r>
        <w:rPr>
          <w:rFonts w:ascii="Arial" w:hAnsi="Arial" w:eastAsia="DanteMTStd-Regular" w:cs="Arial"/>
          <w:color w:val="000000"/>
          <w:sz w:val="22"/>
          <w:szCs w:val="22"/>
          <w:lang w:bidi="ar"/>
        </w:rPr>
        <w:t>altos de colesterol e o aumento do risco para doenças cardíacas e acidente vascular cerebral</w:t>
      </w:r>
      <w:r>
        <w:rPr>
          <w:rFonts w:hint="default" w:ascii="Arial" w:hAnsi="Arial" w:eastAsia="DanteMTStd-Regular" w:cs="Arial"/>
          <w:color w:val="000000"/>
          <w:sz w:val="22"/>
          <w:szCs w:val="22"/>
          <w:lang w:val="pt-BR" w:bidi="ar"/>
        </w:rPr>
        <w:t xml:space="preserve"> </w:t>
      </w:r>
      <w:r>
        <w:rPr>
          <w:rFonts w:hint="default" w:ascii="Arial" w:hAnsi="Arial" w:eastAsia="DanteMTStd-Regular" w:cs="Arial"/>
          <w:color w:val="000000"/>
          <w:sz w:val="22"/>
          <w:szCs w:val="22"/>
          <w:highlight w:val="none"/>
          <w:lang w:val="pt-BR" w:bidi="ar"/>
        </w:rPr>
        <w:t>[2,3].</w:t>
      </w:r>
      <w:r>
        <w:rPr>
          <w:rFonts w:hint="default" w:ascii="Arial" w:hAnsi="Arial" w:eastAsia="DanteMTStd-Regular" w:cs="Arial"/>
          <w:color w:val="FF0000"/>
          <w:sz w:val="22"/>
          <w:szCs w:val="22"/>
          <w:highlight w:val="none"/>
          <w:lang w:val="pt-BR"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88" w:lineRule="auto"/>
        <w:jc w:val="both"/>
        <w:textAlignment w:val="auto"/>
        <w:rPr>
          <w:rFonts w:eastAsia="DanteMTStd-Regular"/>
          <w:color w:val="FF0000"/>
          <w:sz w:val="12"/>
          <w:szCs w:val="12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88" w:lineRule="auto"/>
        <w:jc w:val="both"/>
        <w:textAlignment w:val="auto"/>
        <w:rPr>
          <w:rFonts w:eastAsia="DanteMTStd-Regular"/>
          <w:color w:val="FF0000"/>
          <w:sz w:val="12"/>
          <w:szCs w:val="12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88" w:lineRule="auto"/>
        <w:jc w:val="both"/>
        <w:textAlignment w:val="auto"/>
        <w:rPr>
          <w:rFonts w:eastAsia="Segoe UI"/>
          <w:color w:val="212529"/>
          <w:sz w:val="24"/>
          <w:szCs w:val="24"/>
          <w:shd w:val="clear" w:color="auto" w:fill="FFFFFF"/>
        </w:rPr>
      </w:pPr>
      <w:r>
        <w:rPr>
          <w:rFonts w:eastAsia="DanteMTStd-Regular"/>
          <w:color w:val="000000"/>
          <w:lang w:val="en-US" w:eastAsia="zh-CN" w:bidi="ar"/>
        </w:rPr>
        <w:t>Estimativas da Organização Mundial da Saúde</w:t>
      </w:r>
      <w:r>
        <w:rPr>
          <w:rFonts w:eastAsia="DanteMTStd-Regular"/>
          <w:color w:val="000000"/>
          <w:lang w:eastAsia="zh-CN" w:bidi="ar"/>
        </w:rPr>
        <w:t xml:space="preserve"> (OMS)</w:t>
      </w:r>
      <w:r>
        <w:rPr>
          <w:rFonts w:eastAsia="DanteMTStd-Regular"/>
          <w:color w:val="000000"/>
          <w:lang w:val="en-US" w:eastAsia="zh-CN" w:bidi="ar"/>
        </w:rPr>
        <w:t xml:space="preserve"> destacam que níveis elevados de coleste</w:t>
      </w:r>
      <w:r>
        <w:rPr>
          <w:rFonts w:eastAsia="DanteMTStd-Regular"/>
          <w:color w:val="000000"/>
          <w:lang w:eastAsia="zh-CN" w:bidi="ar"/>
        </w:rPr>
        <w:t>r</w:t>
      </w:r>
      <w:r>
        <w:rPr>
          <w:rFonts w:eastAsia="DanteMTStd-Regular"/>
          <w:color w:val="000000"/>
          <w:lang w:val="en-US" w:eastAsia="zh-CN" w:bidi="ar"/>
        </w:rPr>
        <w:t xml:space="preserve">ol sérico causam cerca de 2,6 milhões de mortes e 29,7 milhões de anos de vida perdidos </w:t>
      </w:r>
      <w:r>
        <w:rPr>
          <w:rFonts w:eastAsia="DanteMTStd-Regular"/>
          <w:color w:val="000000"/>
          <w:lang w:eastAsia="zh-CN" w:bidi="ar"/>
        </w:rPr>
        <w:t xml:space="preserve"> </w:t>
      </w:r>
      <w:r>
        <w:rPr>
          <w:rFonts w:eastAsia="DanteMTStd-Regular"/>
          <w:color w:val="000000"/>
          <w:lang w:val="en-US" w:eastAsia="zh-CN" w:bidi="ar"/>
        </w:rPr>
        <w:t>por morte prematura e incapacidades</w:t>
      </w:r>
      <w:r>
        <w:rPr>
          <w:rFonts w:eastAsia="DanteMTStd-Regular"/>
          <w:color w:val="000000"/>
          <w:highlight w:val="none"/>
          <w:lang w:eastAsia="zh-CN" w:bidi="ar"/>
        </w:rPr>
        <w:t xml:space="preserve"> [</w:t>
      </w:r>
      <w:r>
        <w:rPr>
          <w:rFonts w:hint="default" w:eastAsia="DanteMTStd-Regular"/>
          <w:color w:val="000000"/>
          <w:highlight w:val="none"/>
          <w:lang w:val="pt-BR" w:eastAsia="zh-CN" w:bidi="ar"/>
        </w:rPr>
        <w:t>2</w:t>
      </w:r>
      <w:r>
        <w:rPr>
          <w:rFonts w:eastAsia="DanteMTStd-Regular"/>
          <w:color w:val="000000"/>
          <w:highlight w:val="none"/>
          <w:lang w:eastAsia="zh-CN" w:bidi="ar"/>
        </w:rPr>
        <w:t>]</w:t>
      </w:r>
      <w:r>
        <w:rPr>
          <w:rFonts w:eastAsia="DanteMTStd-Regular"/>
          <w:color w:val="000000"/>
          <w:highlight w:val="none"/>
          <w:lang w:val="en-US" w:eastAsia="zh-CN" w:bidi="ar"/>
        </w:rPr>
        <w:t xml:space="preserve">. 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>As doenças cardiovasculares são as principais responsáveis pelos óbitos registrados anualmente no Brasil. O desenvolvimento dessas doenças está associado a diversos fatores de risco, tais como: obesidade,</w:t>
      </w:r>
      <w:r>
        <w:rPr>
          <w:rFonts w:eastAsia="Segoe UI"/>
          <w:color w:val="212529"/>
          <w:sz w:val="24"/>
          <w:szCs w:val="24"/>
          <w:highlight w:val="none"/>
          <w:shd w:val="clear" w:color="auto" w:fill="FFFFFF"/>
        </w:rPr>
        <w:t xml:space="preserve"> dislipidemias, hipertensão, 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 xml:space="preserve">diabetes e tabagismo, que podem ser controlados com alimentação saudável e prática de atividades físicas. Além desses fatores, a hereditariedade pode determinar um colesterol alto mesmo em pessoas que tenham hábitos saudáveis, por isso, além da prática de atividade física e </w:t>
      </w:r>
      <w:bookmarkStart w:id="0" w:name="_GoBack"/>
      <w:bookmarkEnd w:id="0"/>
      <w:r>
        <w:rPr>
          <w:rFonts w:eastAsia="Segoe UI"/>
          <w:color w:val="212529"/>
          <w:sz w:val="24"/>
          <w:szCs w:val="24"/>
          <w:shd w:val="clear" w:color="auto" w:fill="FFFFFF"/>
        </w:rPr>
        <w:t xml:space="preserve"> alimentação equilibrada é importante verificar regularmente as taxas de gordura no sangue e, se necessário, utilizar medicamentos sob prescrição e acompanhamento médico.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eastAsia="Segoe UI"/>
          <w:color w:val="212529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highlight w:val="none"/>
        </w:rPr>
      </w:pPr>
      <w:r>
        <w:rPr>
          <w:rFonts w:eastAsia="PFDinTextPro-Thin"/>
          <w:color w:val="000000"/>
          <w:lang w:eastAsia="zh-CN" w:bidi="ar"/>
        </w:rPr>
        <w:t>Estudo realizado por Malta et al</w:t>
      </w:r>
      <w:r>
        <w:rPr>
          <w:rFonts w:hint="default" w:eastAsia="PFDinTextPro-Thin"/>
          <w:color w:val="000000"/>
          <w:lang w:val="pt-BR" w:eastAsia="zh-CN" w:bidi="ar"/>
        </w:rPr>
        <w:t xml:space="preserve">., 2019 </w:t>
      </w:r>
      <w:r>
        <w:rPr>
          <w:rFonts w:eastAsia="PFDinTextPro-Thin"/>
          <w:color w:val="000000"/>
          <w:highlight w:val="none"/>
          <w:lang w:eastAsia="zh-CN" w:bidi="ar"/>
        </w:rPr>
        <w:t>[</w:t>
      </w:r>
      <w:r>
        <w:rPr>
          <w:rFonts w:hint="default" w:eastAsia="PFDinTextPro-Thin"/>
          <w:color w:val="000000"/>
          <w:highlight w:val="none"/>
          <w:lang w:val="pt-BR" w:eastAsia="zh-CN" w:bidi="ar"/>
        </w:rPr>
        <w:t>4</w:t>
      </w:r>
      <w:r>
        <w:rPr>
          <w:rFonts w:eastAsia="PFDinTextPro-Thin"/>
          <w:color w:val="000000"/>
          <w:highlight w:val="none"/>
          <w:lang w:eastAsia="zh-CN" w:bidi="ar"/>
        </w:rPr>
        <w:t xml:space="preserve">] </w:t>
      </w:r>
      <w:r>
        <w:rPr>
          <w:rFonts w:eastAsia="PFDinTextPro-Thin"/>
          <w:color w:val="000000"/>
          <w:lang w:eastAsia="zh-CN" w:bidi="ar"/>
        </w:rPr>
        <w:t>sobre a p</w:t>
      </w:r>
      <w:r>
        <w:rPr>
          <w:rFonts w:eastAsia="PFDinTextPro-Thin"/>
          <w:color w:val="000000"/>
          <w:lang w:val="en-US" w:eastAsia="zh-CN" w:bidi="ar"/>
        </w:rPr>
        <w:t>revalência de colesterol total e frações alterados na população adulta brasileira</w:t>
      </w:r>
      <w:r>
        <w:rPr>
          <w:rFonts w:eastAsia="PFDinTextPro-Thin"/>
          <w:color w:val="000000"/>
          <w:lang w:eastAsia="zh-CN" w:bidi="ar"/>
        </w:rPr>
        <w:t xml:space="preserve"> apresentou como resultado: a prevalência de </w:t>
      </w:r>
      <w:r>
        <w:rPr>
          <w:rFonts w:eastAsia="DanteMTStd-Regular"/>
          <w:color w:val="000000"/>
          <w:lang w:val="en-US" w:eastAsia="zh-CN" w:bidi="ar"/>
        </w:rPr>
        <w:t xml:space="preserve"> colesterol total </w:t>
      </w:r>
      <w:r>
        <w:rPr>
          <w:rFonts w:eastAsia="SymbolStd"/>
          <w:color w:val="000000"/>
          <w:lang w:val="en-US" w:eastAsia="zh-CN" w:bidi="ar"/>
        </w:rPr>
        <w:t>≥</w:t>
      </w:r>
      <w:r>
        <w:rPr>
          <w:rFonts w:eastAsia="DanteMTStd-Regular"/>
          <w:color w:val="000000"/>
          <w:lang w:val="en-US" w:eastAsia="zh-CN" w:bidi="ar"/>
        </w:rPr>
        <w:t xml:space="preserve"> 200 mg/dL na população foi de 32,7%, mais elevada em mulheres (35,1%). A prevalência </w:t>
      </w:r>
      <w:r>
        <w:rPr>
          <w:rFonts w:eastAsia="DanteMTStd-Regular"/>
          <w:color w:val="000000"/>
          <w:lang w:eastAsia="zh-CN" w:bidi="ar"/>
        </w:rPr>
        <w:t xml:space="preserve"> </w:t>
      </w:r>
      <w:r>
        <w:rPr>
          <w:rFonts w:eastAsia="DanteMTStd-Regular"/>
          <w:color w:val="000000"/>
          <w:lang w:val="en-US" w:eastAsia="zh-CN" w:bidi="ar"/>
        </w:rPr>
        <w:t xml:space="preserve">de HDL alterado foi de 31,8%, sendo de 42,8% no sexo masculino e 22,0% no feminino. LDL </w:t>
      </w:r>
      <w:r>
        <w:rPr>
          <w:rFonts w:eastAsia="SymbolStd"/>
          <w:color w:val="000000"/>
          <w:lang w:val="en-US" w:eastAsia="zh-CN" w:bidi="ar"/>
        </w:rPr>
        <w:t>≥</w:t>
      </w:r>
      <w:r>
        <w:rPr>
          <w:rFonts w:eastAsia="DanteMTStd-Regular"/>
          <w:color w:val="000000"/>
          <w:lang w:val="en-US" w:eastAsia="zh-CN" w:bidi="ar"/>
        </w:rPr>
        <w:t xml:space="preserve"> 130 mg/dL foi </w:t>
      </w:r>
      <w:r>
        <w:rPr>
          <w:rFonts w:eastAsia="DanteMTStd-Regular"/>
          <w:color w:val="000000"/>
          <w:lang w:eastAsia="zh-CN" w:bidi="ar"/>
        </w:rPr>
        <w:t xml:space="preserve"> </w:t>
      </w:r>
      <w:r>
        <w:rPr>
          <w:rFonts w:eastAsia="DanteMTStd-Regular"/>
          <w:color w:val="000000"/>
          <w:lang w:val="en-US" w:eastAsia="zh-CN" w:bidi="ar"/>
        </w:rPr>
        <w:t xml:space="preserve">observado em 18,6%, com prevalência mais elevada em mulheres (19,9%). População com idade de 45 anos ou mais e com baixa escolaridade apresentou maiores prevalências de </w:t>
      </w:r>
      <w:r>
        <w:rPr>
          <w:rFonts w:eastAsia="DanteMTStd-Regular"/>
          <w:color w:val="000000"/>
          <w:highlight w:val="none"/>
          <w:lang w:val="en-US" w:eastAsia="zh-CN" w:bidi="ar"/>
        </w:rPr>
        <w:t xml:space="preserve">dislipidemias. Esses resultados </w:t>
      </w:r>
      <w:r>
        <w:rPr>
          <w:rFonts w:eastAsia="DanteMTStd-Regular"/>
          <w:color w:val="000000"/>
          <w:highlight w:val="none"/>
          <w:lang w:eastAsia="zh-CN" w:bidi="ar"/>
        </w:rPr>
        <w:t xml:space="preserve">contribuem para </w:t>
      </w:r>
      <w:r>
        <w:rPr>
          <w:rFonts w:eastAsia="DanteMTStd-Regular"/>
          <w:color w:val="000000"/>
          <w:highlight w:val="none"/>
          <w:lang w:val="en-US" w:eastAsia="zh-CN" w:bidi="ar"/>
        </w:rPr>
        <w:t xml:space="preserve">orientar as ações de promoção à saúde, como alimentação saudável, atividade física e tratamento, visando a prevenção de doenças coronarianas.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eastAsia="Segoe UI"/>
          <w:color w:val="212529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eastAsia="Segoe UI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default" w:ascii="Arial" w:hAnsi="Arial" w:eastAsia="DanteMTStd-Regular" w:cs="Arial"/>
          <w:color w:val="auto"/>
          <w:highlight w:val="none"/>
          <w:lang w:val="en-US" w:eastAsia="zh-CN" w:bidi="ar"/>
        </w:rPr>
        <w:t>Dados d</w:t>
      </w:r>
      <w:r>
        <w:rPr>
          <w:rFonts w:hint="default" w:eastAsia="DanteMTStd-Regular" w:cs="Arial"/>
          <w:color w:val="auto"/>
          <w:highlight w:val="none"/>
          <w:lang w:val="pt-BR" w:eastAsia="zh-CN" w:bidi="ar"/>
        </w:rPr>
        <w:t>a pesquisa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eastAsia="SimSun" w:cs="Arial"/>
          <w:sz w:val="24"/>
          <w:szCs w:val="24"/>
          <w:lang w:val="pt-BR"/>
        </w:rPr>
        <w:t>“</w:t>
      </w:r>
      <w:r>
        <w:rPr>
          <w:rFonts w:hint="default" w:ascii="Arial" w:hAnsi="Arial" w:eastAsia="SimSun" w:cs="Arial"/>
          <w:sz w:val="24"/>
          <w:szCs w:val="24"/>
        </w:rPr>
        <w:t>vigilância de fatores de risco e proteção para doenças crônicas por inquérito telefônico</w:t>
      </w:r>
      <w:r>
        <w:rPr>
          <w:rFonts w:hint="default" w:eastAsia="SimSun" w:cs="Arial"/>
          <w:sz w:val="24"/>
          <w:szCs w:val="24"/>
          <w:lang w:val="pt-BR"/>
        </w:rPr>
        <w:t xml:space="preserve"> - </w:t>
      </w:r>
      <w:r>
        <w:rPr>
          <w:rFonts w:hint="default" w:ascii="Arial" w:hAnsi="Arial" w:eastAsia="DanteMTStd-Regular" w:cs="Arial"/>
          <w:color w:val="auto"/>
          <w:highlight w:val="none"/>
          <w:lang w:val="en-US" w:eastAsia="zh-CN" w:bidi="ar"/>
        </w:rPr>
        <w:t>Vigitel</w:t>
      </w:r>
      <w:r>
        <w:rPr>
          <w:rFonts w:hint="default" w:ascii="Arial" w:hAnsi="Arial" w:eastAsia="DanteMTStd-Regular" w:cs="Arial"/>
          <w:color w:val="auto"/>
          <w:highlight w:val="none"/>
          <w:lang w:val="pt-BR" w:eastAsia="zh-CN" w:bidi="ar"/>
        </w:rPr>
        <w:t xml:space="preserve"> Brasil</w:t>
      </w:r>
      <w:r>
        <w:rPr>
          <w:rFonts w:hint="default" w:eastAsia="DanteMTStd-Regular" w:cs="Arial"/>
          <w:color w:val="auto"/>
          <w:highlight w:val="none"/>
          <w:lang w:val="pt-BR" w:eastAsia="zh-CN" w:bidi="ar"/>
        </w:rPr>
        <w:t>”</w:t>
      </w:r>
      <w:r>
        <w:rPr>
          <w:rFonts w:hint="default" w:ascii="Arial" w:hAnsi="Arial" w:eastAsia="DanteMTStd-Regular" w:cs="Arial"/>
          <w:color w:val="auto"/>
          <w:highlight w:val="none"/>
          <w:lang w:eastAsia="zh-CN" w:bidi="ar"/>
        </w:rPr>
        <w:t xml:space="preserve"> [</w:t>
      </w:r>
      <w:r>
        <w:rPr>
          <w:rFonts w:hint="default" w:ascii="Arial" w:hAnsi="Arial" w:eastAsia="DanteMTStd-Regular" w:cs="Arial"/>
          <w:color w:val="auto"/>
          <w:highlight w:val="none"/>
          <w:lang w:val="pt-BR" w:eastAsia="zh-CN" w:bidi="ar"/>
        </w:rPr>
        <w:t>5</w:t>
      </w:r>
      <w:r>
        <w:rPr>
          <w:rFonts w:hint="default" w:ascii="Arial" w:hAnsi="Arial" w:eastAsia="DanteMTStd-Regular" w:cs="Arial"/>
          <w:color w:val="auto"/>
          <w:highlight w:val="none"/>
          <w:lang w:eastAsia="zh-CN" w:bidi="ar"/>
        </w:rPr>
        <w:t>]</w:t>
      </w:r>
      <w:r>
        <w:rPr>
          <w:rFonts w:eastAsia="DanteMTStd-Regular"/>
          <w:color w:val="auto"/>
          <w:highlight w:val="none"/>
          <w:lang w:val="en-US" w:eastAsia="zh-CN" w:bidi="ar"/>
        </w:rPr>
        <w:t xml:space="preserve"> apontaram que o diagnóstico de dislipidemia foi mais frequente na população com baixa escolaridade, variando de 29 (zero a oito anos de estudo) para 19,4% (12 anos ou mais), podendo ser explicado pelo maior acesso a práticas de prevenção, promoção e assistência na população de maior escolaridade e renda</w:t>
      </w:r>
      <w:r>
        <w:rPr>
          <w:rFonts w:eastAsia="DanteMTStd-Regular"/>
          <w:color w:val="auto"/>
          <w:highlight w:val="none"/>
          <w:lang w:eastAsia="zh-CN" w:bidi="ar"/>
        </w:rPr>
        <w:t>.</w:t>
      </w:r>
      <w:r>
        <w:rPr>
          <w:rFonts w:eastAsia="Segoe UI"/>
          <w:color w:val="auto"/>
          <w:sz w:val="24"/>
          <w:szCs w:val="24"/>
          <w:highlight w:val="none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eastAsia="Segoe UI"/>
          <w:color w:val="auto"/>
          <w:sz w:val="24"/>
          <w:szCs w:val="24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eastAsia="sans-serif"/>
          <w:color w:val="auto"/>
          <w:highlight w:val="none"/>
          <w:shd w:val="clear" w:color="auto" w:fill="FFFFFF"/>
        </w:rPr>
      </w:pPr>
      <w:r>
        <w:rPr>
          <w:rFonts w:eastAsia="Segoe UI"/>
          <w:color w:val="auto"/>
          <w:sz w:val="24"/>
          <w:szCs w:val="24"/>
          <w:highlight w:val="none"/>
          <w:shd w:val="clear" w:color="auto" w:fill="FFFFFF"/>
        </w:rPr>
        <w:t>A</w:t>
      </w:r>
      <w:r>
        <w:rPr>
          <w:rFonts w:eastAsia="sans-serif"/>
          <w:color w:val="auto"/>
          <w:highlight w:val="none"/>
          <w:shd w:val="clear" w:color="auto" w:fill="FFFFFF"/>
        </w:rPr>
        <w:t xml:space="preserve"> preocupação com o problema levou o país a instituir o Dia Nacional do Combate ao Colesterol, celebrado no dia 8 de agosto. </w:t>
      </w:r>
      <w:r>
        <w:rPr>
          <w:rFonts w:eastAsia="SimSun"/>
          <w:color w:val="auto"/>
          <w:highlight w:val="none"/>
          <w:lang w:eastAsia="zh-CN" w:bidi="ar"/>
        </w:rPr>
        <w:t>A S</w:t>
      </w:r>
      <w:r>
        <w:rPr>
          <w:rFonts w:eastAsia="sans-serif"/>
          <w:color w:val="auto"/>
          <w:highlight w:val="none"/>
          <w:shd w:val="clear" w:color="auto" w:fill="FFFFFF"/>
        </w:rPr>
        <w:t>ociedade Brasileira de Geriatria e Gerontologia</w:t>
      </w:r>
      <w:r>
        <w:rPr>
          <w:rFonts w:hint="default" w:eastAsia="sans-serif"/>
          <w:color w:val="auto"/>
          <w:highlight w:val="none"/>
          <w:shd w:val="clear" w:color="auto" w:fill="FFFFFF"/>
          <w:lang w:val="pt-BR"/>
        </w:rPr>
        <w:t xml:space="preserve"> [6]</w:t>
      </w:r>
      <w:r>
        <w:rPr>
          <w:rFonts w:eastAsia="sans-serif"/>
          <w:color w:val="auto"/>
          <w:highlight w:val="none"/>
          <w:shd w:val="clear" w:color="auto" w:fill="FFFFFF"/>
        </w:rPr>
        <w:t xml:space="preserve"> recomenda estabelecer hábitos de vida que incluem a prática regular de exercícios físicos associados a uma alimentação rica em nutrientes e com baixa ingestão de gordura saturada desde a juventude</w:t>
      </w:r>
      <w:r>
        <w:rPr>
          <w:rFonts w:hint="default" w:eastAsia="sans-serif"/>
          <w:color w:val="auto"/>
          <w:highlight w:val="none"/>
          <w:shd w:val="clear" w:color="auto" w:fill="FFFFFF"/>
          <w:lang w:val="pt-BR"/>
        </w:rPr>
        <w:t>.</w:t>
      </w:r>
      <w:r>
        <w:rPr>
          <w:rFonts w:eastAsia="sans-serif"/>
          <w:color w:val="auto"/>
          <w:highlight w:val="none"/>
          <w:shd w:val="clear" w:color="auto" w:fill="FFFFFF"/>
        </w:rPr>
        <w:t xml:space="preserve"> </w:t>
      </w:r>
    </w:p>
    <w:p>
      <w:pPr>
        <w:widowControl w:val="0"/>
        <w:spacing w:line="300" w:lineRule="auto"/>
        <w:jc w:val="both"/>
        <w:rPr>
          <w:b/>
          <w:bCs/>
          <w:color w:val="auto"/>
        </w:rPr>
      </w:pPr>
    </w:p>
    <w:p>
      <w:pPr>
        <w:widowControl w:val="0"/>
        <w:spacing w:line="300" w:lineRule="auto"/>
        <w:rPr>
          <w:b/>
          <w:bCs/>
          <w:highlight w:val="yellow"/>
        </w:rPr>
      </w:pPr>
      <w:r>
        <w:rPr>
          <w:b/>
          <w:bCs/>
        </w:rPr>
        <w:t>Refer</w:t>
      </w:r>
      <w:r>
        <w:rPr>
          <w:b/>
          <w:bCs/>
          <w:highlight w:val="none"/>
        </w:rPr>
        <w:t xml:space="preserve">ências  </w:t>
      </w:r>
    </w:p>
    <w:p>
      <w:pPr>
        <w:widowControl w:val="0"/>
        <w:spacing w:line="300" w:lineRule="auto"/>
        <w:rPr>
          <w:b/>
          <w:bCs/>
          <w:highlight w:val="yellow"/>
        </w:rPr>
      </w:pPr>
    </w:p>
    <w:p>
      <w:pPr>
        <w:widowControl w:val="0"/>
        <w:numPr>
          <w:ilvl w:val="0"/>
          <w:numId w:val="1"/>
        </w:numPr>
        <w:spacing w:line="300" w:lineRule="auto"/>
        <w:rPr>
          <w:rFonts w:eastAsia="SimSun"/>
          <w:b w:val="0"/>
          <w:bCs w:val="0"/>
          <w:color w:val="000000"/>
          <w:sz w:val="20"/>
          <w:szCs w:val="20"/>
          <w:highlight w:val="none"/>
          <w:shd w:val="clear" w:color="auto" w:fill="FFFFFF"/>
        </w:rPr>
      </w:pPr>
      <w:r>
        <w:rPr>
          <w:rFonts w:eastAsia="SimSun"/>
          <w:b w:val="0"/>
          <w:bCs w:val="0"/>
          <w:color w:val="000000"/>
          <w:sz w:val="20"/>
          <w:szCs w:val="20"/>
          <w:highlight w:val="none"/>
          <w:shd w:val="clear" w:color="auto" w:fill="FFFFFF"/>
        </w:rPr>
        <w:t xml:space="preserve">Brasil. Ministério da Saúde. Disponível em: </w:t>
      </w:r>
      <w:r>
        <w:rPr>
          <w:b w:val="0"/>
          <w:bCs w:val="0"/>
          <w:sz w:val="20"/>
          <w:szCs w:val="20"/>
          <w:highlight w:val="none"/>
        </w:rPr>
        <w:fldChar w:fldCharType="begin"/>
      </w:r>
      <w:r>
        <w:rPr>
          <w:b w:val="0"/>
          <w:bCs w:val="0"/>
          <w:sz w:val="20"/>
          <w:szCs w:val="20"/>
          <w:highlight w:val="none"/>
        </w:rPr>
        <w:instrText xml:space="preserve"> HYPERLINK "https://bvsms.saude.gov.br/sindrome-metabolica/" </w:instrText>
      </w:r>
      <w:r>
        <w:rPr>
          <w:b w:val="0"/>
          <w:bCs w:val="0"/>
          <w:sz w:val="20"/>
          <w:szCs w:val="20"/>
          <w:highlight w:val="none"/>
        </w:rPr>
        <w:fldChar w:fldCharType="separate"/>
      </w:r>
      <w:r>
        <w:rPr>
          <w:rStyle w:val="12"/>
          <w:rFonts w:eastAsia="SimSun"/>
          <w:b w:val="0"/>
          <w:bCs w:val="0"/>
          <w:sz w:val="20"/>
          <w:szCs w:val="20"/>
          <w:highlight w:val="none"/>
          <w:shd w:val="clear" w:color="auto" w:fill="FFFFFF"/>
        </w:rPr>
        <w:t>https://bvsms.saude.gov.br/sindrome-metabolica/</w:t>
      </w:r>
      <w:r>
        <w:rPr>
          <w:rStyle w:val="12"/>
          <w:rFonts w:eastAsia="SimSun"/>
          <w:b w:val="0"/>
          <w:bCs w:val="0"/>
          <w:sz w:val="20"/>
          <w:szCs w:val="20"/>
          <w:highlight w:val="none"/>
          <w:shd w:val="clear" w:color="auto" w:fill="FFFFFF"/>
        </w:rPr>
        <w:fldChar w:fldCharType="end"/>
      </w:r>
      <w:r>
        <w:rPr>
          <w:rFonts w:eastAsia="SimSun"/>
          <w:b w:val="0"/>
          <w:bCs w:val="0"/>
          <w:color w:val="000000"/>
          <w:sz w:val="20"/>
          <w:szCs w:val="20"/>
          <w:highlight w:val="none"/>
          <w:shd w:val="clear" w:color="auto" w:fill="FFFFFF"/>
        </w:rPr>
        <w:t>. Acesso em 05.08.2022.</w:t>
      </w:r>
    </w:p>
    <w:p>
      <w:pPr>
        <w:widowControl w:val="0"/>
        <w:numPr>
          <w:ilvl w:val="0"/>
          <w:numId w:val="0"/>
        </w:numPr>
        <w:spacing w:line="300" w:lineRule="auto"/>
        <w:rPr>
          <w:rFonts w:eastAsia="SimSun"/>
          <w:b w:val="0"/>
          <w:bCs w:val="0"/>
          <w:color w:val="000000"/>
          <w:sz w:val="20"/>
          <w:szCs w:val="20"/>
          <w:highlight w:val="none"/>
          <w:shd w:val="clear" w:color="auto" w:fill="FFFFFF"/>
        </w:rPr>
      </w:pP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eastAsia="DanteMTStd-Regular"/>
          <w:color w:val="000000"/>
          <w:sz w:val="20"/>
          <w:szCs w:val="20"/>
          <w:lang w:val="en-US" w:eastAsia="zh-CN" w:bidi="ar"/>
        </w:rPr>
        <w:t xml:space="preserve">World Health Organization. Global Health Risks: Mortality and burden of disease attributable to selected major risks [Internet]. 2009. Disponível em: </w:t>
      </w:r>
      <w:r>
        <w:rPr>
          <w:color w:val="0000FF"/>
          <w:sz w:val="20"/>
          <w:szCs w:val="20"/>
        </w:rPr>
        <w:fldChar w:fldCharType="begin"/>
      </w:r>
      <w:r>
        <w:rPr>
          <w:color w:val="0000FF"/>
          <w:sz w:val="20"/>
          <w:szCs w:val="20"/>
        </w:rPr>
        <w:instrText xml:space="preserve"> HYPERLINK "https://apps.who.int/iris/handle/10665/44203" </w:instrText>
      </w:r>
      <w:r>
        <w:rPr>
          <w:color w:val="0000FF"/>
          <w:sz w:val="20"/>
          <w:szCs w:val="20"/>
        </w:rPr>
        <w:fldChar w:fldCharType="separate"/>
      </w:r>
      <w:r>
        <w:rPr>
          <w:rStyle w:val="12"/>
          <w:rFonts w:eastAsia="DanteMTStd-Regular"/>
          <w:color w:val="0000FF"/>
          <w:sz w:val="20"/>
          <w:szCs w:val="20"/>
          <w:lang w:val="en-US" w:eastAsia="zh-CN"/>
        </w:rPr>
        <w:t>https://apps.who.int/iris/handle/10665/44203</w:t>
      </w:r>
      <w:r>
        <w:rPr>
          <w:rStyle w:val="12"/>
          <w:rFonts w:eastAsia="DanteMTStd-Regular"/>
          <w:color w:val="0000FF"/>
          <w:sz w:val="20"/>
          <w:szCs w:val="20"/>
          <w:lang w:val="en-US" w:eastAsia="zh-CN"/>
        </w:rPr>
        <w:fldChar w:fldCharType="end"/>
      </w:r>
      <w:r>
        <w:rPr>
          <w:rFonts w:eastAsia="DanteMTStd-Regular"/>
          <w:color w:val="0070C0"/>
          <w:sz w:val="20"/>
          <w:szCs w:val="20"/>
          <w:lang w:eastAsia="zh-CN"/>
        </w:rPr>
        <w:t xml:space="preserve">  .  </w:t>
      </w:r>
      <w:r>
        <w:rPr>
          <w:rFonts w:eastAsia="DanteMTStd-Regular"/>
          <w:color w:val="000000"/>
          <w:sz w:val="20"/>
          <w:szCs w:val="20"/>
          <w:lang w:eastAsia="zh-CN" w:bidi="ar"/>
        </w:rPr>
        <w:t>A</w:t>
      </w:r>
      <w:r>
        <w:rPr>
          <w:rFonts w:eastAsia="DanteMTStd-Regular"/>
          <w:color w:val="000000"/>
          <w:sz w:val="20"/>
          <w:szCs w:val="20"/>
          <w:lang w:val="en-US" w:eastAsia="zh-CN" w:bidi="ar"/>
        </w:rPr>
        <w:t>cess</w:t>
      </w:r>
      <w:r>
        <w:rPr>
          <w:rFonts w:eastAsia="DanteMTStd-Regular"/>
          <w:color w:val="000000"/>
          <w:sz w:val="20"/>
          <w:szCs w:val="20"/>
          <w:lang w:eastAsia="zh-CN" w:bidi="ar"/>
        </w:rPr>
        <w:t>o em</w:t>
      </w:r>
      <w:r>
        <w:rPr>
          <w:rFonts w:eastAsia="DanteMTStd-Regular"/>
          <w:color w:val="000000"/>
          <w:sz w:val="20"/>
          <w:szCs w:val="20"/>
          <w:lang w:val="en-US" w:eastAsia="zh-CN" w:bidi="ar"/>
        </w:rPr>
        <w:t xml:space="preserve"> 5 dez. 2018</w:t>
      </w:r>
      <w:r>
        <w:rPr>
          <w:rFonts w:eastAsia="DanteMTStd-Regular"/>
          <w:color w:val="000000"/>
          <w:sz w:val="20"/>
          <w:szCs w:val="20"/>
          <w:lang w:eastAsia="zh-CN" w:bidi="ar"/>
        </w:rPr>
        <w:t>.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1"/>
        </w:numPr>
        <w:ind w:left="0" w:leftChars="0" w:firstLine="0" w:firstLineChars="0"/>
        <w:rPr>
          <w:b w:val="0"/>
          <w:bCs w:val="0"/>
          <w:sz w:val="20"/>
          <w:szCs w:val="20"/>
        </w:rPr>
      </w:pPr>
      <w:r>
        <w:rPr>
          <w:rFonts w:eastAsia="DanteMTStd-Regular"/>
          <w:b w:val="0"/>
          <w:bCs w:val="0"/>
          <w:color w:val="000000"/>
          <w:sz w:val="20"/>
          <w:szCs w:val="20"/>
          <w:lang w:val="en-US" w:eastAsia="zh-CN" w:bidi="ar"/>
        </w:rPr>
        <w:t>Xavier HT, Izar MC, Faria Neto JR, Assad MH, Rocha VZ, Sposito AC, et al. V Diretriz Brasileira de Dislipidemias e Prevenção da Aterosclerose. Arq Bras Cardiol 2013; 101(4Supl. 1): 1-20</w:t>
      </w:r>
      <w:r>
        <w:rPr>
          <w:rFonts w:hint="default" w:eastAsia="DanteMTStd-Regular"/>
          <w:b w:val="0"/>
          <w:bCs w:val="0"/>
          <w:color w:val="000000"/>
          <w:sz w:val="20"/>
          <w:szCs w:val="20"/>
          <w:lang w:val="pt-BR" w:eastAsia="zh-CN" w:bidi="ar"/>
        </w:rPr>
        <w:t>.</w:t>
      </w:r>
      <w:r>
        <w:rPr>
          <w:rFonts w:eastAsia="DanteMTStd-Regular"/>
          <w:b w:val="0"/>
          <w:bCs w:val="0"/>
          <w:color w:val="000000"/>
          <w:sz w:val="20"/>
          <w:szCs w:val="20"/>
          <w:lang w:val="en-US" w:eastAsia="zh-CN" w:bidi="ar"/>
        </w:rPr>
        <w:t xml:space="preserve"> </w:t>
      </w:r>
    </w:p>
    <w:p>
      <w:pPr>
        <w:rPr>
          <w:rStyle w:val="12"/>
          <w:rFonts w:eastAsia="DanteMTStd-Regular"/>
          <w:sz w:val="20"/>
          <w:szCs w:val="20"/>
          <w:lang w:val="en-US" w:eastAsia="zh-CN" w:bidi="ar"/>
        </w:rPr>
      </w:pPr>
      <w:r>
        <w:rPr>
          <w:rFonts w:eastAsia="DanteMTStd-Regular"/>
          <w:color w:val="000000"/>
          <w:sz w:val="20"/>
          <w:szCs w:val="20"/>
          <w:lang w:val="en-US" w:eastAsia="zh-CN" w:bidi="ar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"http://dx.doi.org/10.5935/abc.2013S010" </w:instrText>
      </w:r>
      <w:r>
        <w:rPr>
          <w:sz w:val="20"/>
          <w:szCs w:val="20"/>
        </w:rPr>
        <w:fldChar w:fldCharType="separate"/>
      </w:r>
      <w:r>
        <w:rPr>
          <w:rStyle w:val="12"/>
          <w:rFonts w:eastAsia="DanteMTStd-Regular"/>
          <w:sz w:val="20"/>
          <w:szCs w:val="20"/>
          <w:lang w:val="en-US" w:eastAsia="zh-CN" w:bidi="ar"/>
        </w:rPr>
        <w:t>http://dx.doi.org/10.5935/abc.2013S010</w:t>
      </w:r>
      <w:r>
        <w:rPr>
          <w:rStyle w:val="12"/>
          <w:rFonts w:eastAsia="DanteMTStd-Regular"/>
          <w:sz w:val="20"/>
          <w:szCs w:val="20"/>
          <w:lang w:val="en-US" w:eastAsia="zh-CN" w:bidi="ar"/>
        </w:rPr>
        <w:fldChar w:fldCharType="end"/>
      </w:r>
    </w:p>
    <w:p>
      <w:pPr>
        <w:rPr>
          <w:rStyle w:val="12"/>
          <w:rFonts w:eastAsia="DanteMTStd-Regular"/>
          <w:sz w:val="20"/>
          <w:szCs w:val="20"/>
          <w:lang w:val="en-US" w:eastAsia="zh-CN" w:bidi="ar"/>
        </w:rPr>
      </w:pPr>
    </w:p>
    <w:p>
      <w:pPr>
        <w:widowControl w:val="0"/>
        <w:numPr>
          <w:ilvl w:val="0"/>
          <w:numId w:val="1"/>
        </w:numPr>
        <w:spacing w:line="300" w:lineRule="auto"/>
        <w:ind w:left="0" w:leftChars="0" w:firstLine="0" w:firstLineChars="0"/>
        <w:rPr>
          <w:rFonts w:eastAsia="SimSun"/>
          <w:color w:val="000000"/>
          <w:sz w:val="20"/>
          <w:szCs w:val="20"/>
          <w:shd w:val="clear" w:color="auto" w:fill="FFFFFF"/>
        </w:rPr>
      </w:pPr>
      <w:r>
        <w:rPr>
          <w:rFonts w:eastAsia="SimSun"/>
          <w:color w:val="000000"/>
          <w:sz w:val="20"/>
          <w:szCs w:val="20"/>
          <w:shd w:val="clear" w:color="auto" w:fill="FFFFFF"/>
        </w:rPr>
        <w:t>Malta DC, Szwarcwald CL, Machado IE, Pereira CA, Figueiredo AW, Sá ACMG, et al. Prevalência de colesterol total e frações alterados na população adulta brasileira: pesquisa nacional de saúde. Rev Bras Epidemiol. 2019;22(Supl 2):e190005.Supl.2. doi: 10.1590/1980-549720190005.supl.2.</w:t>
      </w:r>
    </w:p>
    <w:p>
      <w:pPr>
        <w:numPr>
          <w:ilvl w:val="0"/>
          <w:numId w:val="0"/>
        </w:numPr>
        <w:ind w:leftChars="0"/>
        <w:rPr>
          <w:rFonts w:eastAsia="DanteMTStd-Regular"/>
          <w:color w:val="000000"/>
          <w:sz w:val="20"/>
          <w:szCs w:val="20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0"/>
          <w:szCs w:val="20"/>
          <w:lang w:val="pt-BR"/>
        </w:rPr>
      </w:pPr>
      <w:r>
        <w:rPr>
          <w:rFonts w:eastAsia="DanteMTStd-Regular"/>
          <w:color w:val="000000"/>
          <w:sz w:val="20"/>
          <w:szCs w:val="20"/>
          <w:lang w:val="en-US" w:eastAsia="zh-CN" w:bidi="ar"/>
        </w:rPr>
        <w:t>Stopa SR, Malta DC, Monteiro CN, Szwarcwald CL, Goldbaum M, Cesar CLG. Acesso e uso de serviços de saúde pela população brasileira, Pesquisa Nacional de Saúde 2013. Rev Saúde Pública 2017; 51(Supl. 1)</w:t>
      </w:r>
      <w:r>
        <w:rPr>
          <w:rFonts w:hint="default" w:eastAsia="DanteMTStd-Regular"/>
          <w:color w:val="000000"/>
          <w:sz w:val="20"/>
          <w:szCs w:val="20"/>
          <w:lang w:val="pt-BR" w:eastAsia="zh-CN" w:bidi="ar"/>
        </w:rPr>
        <w:t>.</w:t>
      </w:r>
    </w:p>
    <w:p>
      <w:pPr>
        <w:widowControl w:val="0"/>
        <w:spacing w:line="300" w:lineRule="auto"/>
        <w:rPr>
          <w:rFonts w:hint="default"/>
          <w:b/>
          <w:bCs/>
          <w:sz w:val="20"/>
          <w:szCs w:val="20"/>
          <w:lang w:val="pt-BR"/>
        </w:rPr>
      </w:pPr>
    </w:p>
    <w:p>
      <w:pPr>
        <w:widowControl w:val="0"/>
        <w:numPr>
          <w:ilvl w:val="0"/>
          <w:numId w:val="1"/>
        </w:numPr>
        <w:spacing w:line="300" w:lineRule="auto"/>
        <w:ind w:left="0" w:leftChars="0" w:firstLine="0" w:firstLineChars="0"/>
        <w:rPr>
          <w:sz w:val="20"/>
          <w:szCs w:val="20"/>
        </w:rPr>
      </w:pPr>
      <w:r>
        <w:rPr>
          <w:rFonts w:eastAsia="SimSun"/>
          <w:sz w:val="20"/>
          <w:szCs w:val="20"/>
          <w:lang w:eastAsia="zh-CN" w:bidi="ar"/>
        </w:rPr>
        <w:t>S</w:t>
      </w:r>
      <w:r>
        <w:rPr>
          <w:rFonts w:eastAsia="sans-serif"/>
          <w:sz w:val="20"/>
          <w:szCs w:val="20"/>
          <w:shd w:val="clear" w:color="auto" w:fill="FFFFFF"/>
        </w:rPr>
        <w:t>ociedade Brasileira de Geriatria e Gerontologia (SBGG). 8 de agosto- Dia Nacional do Combate ao Colesterol.</w:t>
      </w:r>
      <w:r>
        <w:rPr>
          <w:rStyle w:val="10"/>
          <w:rFonts w:eastAsia="sans-serif"/>
          <w:b w:val="0"/>
          <w:bCs w:val="0"/>
          <w:sz w:val="20"/>
          <w:szCs w:val="20"/>
          <w:shd w:val="clear" w:color="auto" w:fill="FFFFFF"/>
        </w:rPr>
        <w:t>Manutenção do colesterol em idosos começa na juventude.SBGG. Disponível em:</w:t>
      </w:r>
      <w:r>
        <w:rPr>
          <w:sz w:val="20"/>
          <w:szCs w:val="20"/>
        </w:rPr>
        <w:t xml:space="preserve"> </w:t>
      </w:r>
      <w:r>
        <w:fldChar w:fldCharType="begin"/>
      </w:r>
      <w:r>
        <w:instrText xml:space="preserve"> HYPERLINK "https://sbgg.org.br/0808-dia-nacional-do-combate-ao-colesterol/" </w:instrText>
      </w:r>
      <w:r>
        <w:fldChar w:fldCharType="separate"/>
      </w:r>
      <w:r>
        <w:rPr>
          <w:rStyle w:val="12"/>
          <w:sz w:val="20"/>
          <w:szCs w:val="20"/>
        </w:rPr>
        <w:t>https://sbgg.org.br/0808-dia-nacional-do-combate-ao-colesterol/</w:t>
      </w:r>
      <w:r>
        <w:rPr>
          <w:rStyle w:val="12"/>
          <w:sz w:val="20"/>
          <w:szCs w:val="20"/>
        </w:rPr>
        <w:fldChar w:fldCharType="end"/>
      </w:r>
      <w:r>
        <w:rPr>
          <w:sz w:val="20"/>
          <w:szCs w:val="20"/>
        </w:rPr>
        <w:t xml:space="preserve"> Acesso em: 2 de ago. 2022.</w:t>
      </w:r>
    </w:p>
    <w:p>
      <w:pPr>
        <w:widowControl w:val="0"/>
        <w:spacing w:line="300" w:lineRule="auto"/>
        <w:rPr>
          <w:rFonts w:hint="default"/>
          <w:b/>
          <w:bCs/>
          <w:sz w:val="20"/>
          <w:szCs w:val="20"/>
          <w:lang w:val="pt-BR"/>
        </w:rPr>
      </w:pPr>
    </w:p>
    <w:sectPr>
      <w:headerReference r:id="rId5" w:type="default"/>
      <w:pgSz w:w="11906" w:h="16838"/>
      <w:pgMar w:top="1701" w:right="1134" w:bottom="1134" w:left="1701" w:header="0" w:footer="0" w:gutter="0"/>
      <w:pgNumType w:start="1"/>
      <w:cols w:space="720" w:num="1"/>
      <w:formProt w:val="0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DanteMTStd-Regular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FDinTextPro-Thin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St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drawing>
        <wp:anchor distT="0" distB="9525" distL="114300" distR="11811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paragraph">
            <wp:posOffset>60960</wp:posOffset>
          </wp:positionV>
          <wp:extent cx="967740" cy="885825"/>
          <wp:effectExtent l="0" t="0" r="0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774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7620" distL="114300" distR="114300" simplePos="0" relativeHeight="251660288" behindDoc="0" locked="0" layoutInCell="0" allowOverlap="1">
          <wp:simplePos x="0" y="0"/>
          <wp:positionH relativeFrom="column">
            <wp:posOffset>5077460</wp:posOffset>
          </wp:positionH>
          <wp:positionV relativeFrom="paragraph">
            <wp:posOffset>207645</wp:posOffset>
          </wp:positionV>
          <wp:extent cx="998855" cy="621030"/>
          <wp:effectExtent l="0" t="0" r="0" b="0"/>
          <wp:wrapSquare wrapText="bothSides"/>
          <wp:docPr id="2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885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0" distR="0">
          <wp:extent cx="793115" cy="1055370"/>
          <wp:effectExtent l="0" t="0" r="0" b="0"/>
          <wp:docPr id="3" name="Imagem 24" descr="logo_ru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4" descr="logo_rural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93115" cy="1055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C7411"/>
    <w:multiLevelType w:val="singleLevel"/>
    <w:tmpl w:val="F51C74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autoHyphenation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B4"/>
    <w:rsid w:val="00000A1C"/>
    <w:rsid w:val="0000320A"/>
    <w:rsid w:val="00006FCE"/>
    <w:rsid w:val="00013C83"/>
    <w:rsid w:val="00043900"/>
    <w:rsid w:val="00045AC9"/>
    <w:rsid w:val="000472B2"/>
    <w:rsid w:val="00047AD6"/>
    <w:rsid w:val="000501C3"/>
    <w:rsid w:val="00050C86"/>
    <w:rsid w:val="00051E54"/>
    <w:rsid w:val="000535D8"/>
    <w:rsid w:val="00066905"/>
    <w:rsid w:val="00067848"/>
    <w:rsid w:val="00072D28"/>
    <w:rsid w:val="00076083"/>
    <w:rsid w:val="00084578"/>
    <w:rsid w:val="0009083F"/>
    <w:rsid w:val="000B6E8D"/>
    <w:rsid w:val="000C273F"/>
    <w:rsid w:val="000C3046"/>
    <w:rsid w:val="000D3B97"/>
    <w:rsid w:val="000D62B6"/>
    <w:rsid w:val="000D7249"/>
    <w:rsid w:val="000E20CD"/>
    <w:rsid w:val="000E4780"/>
    <w:rsid w:val="000E652B"/>
    <w:rsid w:val="000F20DE"/>
    <w:rsid w:val="000F7FF8"/>
    <w:rsid w:val="001000C8"/>
    <w:rsid w:val="00103F19"/>
    <w:rsid w:val="001101F2"/>
    <w:rsid w:val="00117A78"/>
    <w:rsid w:val="00117B83"/>
    <w:rsid w:val="00127C6C"/>
    <w:rsid w:val="001506BD"/>
    <w:rsid w:val="00152FD5"/>
    <w:rsid w:val="001559F8"/>
    <w:rsid w:val="00165EC5"/>
    <w:rsid w:val="00172559"/>
    <w:rsid w:val="00177061"/>
    <w:rsid w:val="0018377B"/>
    <w:rsid w:val="001A0BE6"/>
    <w:rsid w:val="001B3003"/>
    <w:rsid w:val="001C16FA"/>
    <w:rsid w:val="001C5341"/>
    <w:rsid w:val="001C77BA"/>
    <w:rsid w:val="001C7DCC"/>
    <w:rsid w:val="001E6150"/>
    <w:rsid w:val="001F16F8"/>
    <w:rsid w:val="001F2548"/>
    <w:rsid w:val="002202C3"/>
    <w:rsid w:val="002225E3"/>
    <w:rsid w:val="002235EB"/>
    <w:rsid w:val="00253844"/>
    <w:rsid w:val="002551E7"/>
    <w:rsid w:val="002551ED"/>
    <w:rsid w:val="00257201"/>
    <w:rsid w:val="00260A6E"/>
    <w:rsid w:val="0026326E"/>
    <w:rsid w:val="0027035C"/>
    <w:rsid w:val="00271ABD"/>
    <w:rsid w:val="00276307"/>
    <w:rsid w:val="00282C3D"/>
    <w:rsid w:val="00283466"/>
    <w:rsid w:val="00285136"/>
    <w:rsid w:val="00291786"/>
    <w:rsid w:val="002A2886"/>
    <w:rsid w:val="002B21F3"/>
    <w:rsid w:val="002B28AA"/>
    <w:rsid w:val="002B32A6"/>
    <w:rsid w:val="002B4150"/>
    <w:rsid w:val="002B70C1"/>
    <w:rsid w:val="002C1604"/>
    <w:rsid w:val="002C2415"/>
    <w:rsid w:val="002C449B"/>
    <w:rsid w:val="002C656D"/>
    <w:rsid w:val="00305E5D"/>
    <w:rsid w:val="00306214"/>
    <w:rsid w:val="00314BC2"/>
    <w:rsid w:val="00316153"/>
    <w:rsid w:val="00331243"/>
    <w:rsid w:val="00347F50"/>
    <w:rsid w:val="00355764"/>
    <w:rsid w:val="00357448"/>
    <w:rsid w:val="0036667A"/>
    <w:rsid w:val="00366C87"/>
    <w:rsid w:val="0037344B"/>
    <w:rsid w:val="003900DB"/>
    <w:rsid w:val="00391ED3"/>
    <w:rsid w:val="00391F2C"/>
    <w:rsid w:val="003923B0"/>
    <w:rsid w:val="003A41D9"/>
    <w:rsid w:val="003A77DD"/>
    <w:rsid w:val="003C5748"/>
    <w:rsid w:val="003C6817"/>
    <w:rsid w:val="003D2F34"/>
    <w:rsid w:val="003E2799"/>
    <w:rsid w:val="003E6630"/>
    <w:rsid w:val="003F3428"/>
    <w:rsid w:val="003F3F58"/>
    <w:rsid w:val="003F517E"/>
    <w:rsid w:val="003F6904"/>
    <w:rsid w:val="003F7F00"/>
    <w:rsid w:val="00414703"/>
    <w:rsid w:val="00424458"/>
    <w:rsid w:val="004334BA"/>
    <w:rsid w:val="00446AC0"/>
    <w:rsid w:val="004527CE"/>
    <w:rsid w:val="00460B6B"/>
    <w:rsid w:val="00461F18"/>
    <w:rsid w:val="00464AFF"/>
    <w:rsid w:val="00467531"/>
    <w:rsid w:val="004712C0"/>
    <w:rsid w:val="00472E27"/>
    <w:rsid w:val="00495485"/>
    <w:rsid w:val="004970BE"/>
    <w:rsid w:val="004A1BDB"/>
    <w:rsid w:val="004A2DF4"/>
    <w:rsid w:val="004A7C20"/>
    <w:rsid w:val="004B3FED"/>
    <w:rsid w:val="004C16F6"/>
    <w:rsid w:val="004C6E95"/>
    <w:rsid w:val="004C7A44"/>
    <w:rsid w:val="004F1DE9"/>
    <w:rsid w:val="00500EF9"/>
    <w:rsid w:val="0050505E"/>
    <w:rsid w:val="005245A9"/>
    <w:rsid w:val="005263A5"/>
    <w:rsid w:val="005307F4"/>
    <w:rsid w:val="00535549"/>
    <w:rsid w:val="0054151B"/>
    <w:rsid w:val="00544868"/>
    <w:rsid w:val="00554DFE"/>
    <w:rsid w:val="00563D29"/>
    <w:rsid w:val="0057264A"/>
    <w:rsid w:val="00580AAD"/>
    <w:rsid w:val="005829CA"/>
    <w:rsid w:val="0058548F"/>
    <w:rsid w:val="00585BFF"/>
    <w:rsid w:val="0059184E"/>
    <w:rsid w:val="00591867"/>
    <w:rsid w:val="0059683E"/>
    <w:rsid w:val="005A0074"/>
    <w:rsid w:val="005A695E"/>
    <w:rsid w:val="005B0F6D"/>
    <w:rsid w:val="005B51DF"/>
    <w:rsid w:val="005C0D57"/>
    <w:rsid w:val="005C2D64"/>
    <w:rsid w:val="005C55C7"/>
    <w:rsid w:val="005C5BD3"/>
    <w:rsid w:val="005C6824"/>
    <w:rsid w:val="005D7045"/>
    <w:rsid w:val="005D7CFC"/>
    <w:rsid w:val="005F2C12"/>
    <w:rsid w:val="0060313C"/>
    <w:rsid w:val="006062D6"/>
    <w:rsid w:val="00607FB0"/>
    <w:rsid w:val="00610BA3"/>
    <w:rsid w:val="00622916"/>
    <w:rsid w:val="00623AC4"/>
    <w:rsid w:val="00623EA8"/>
    <w:rsid w:val="00632006"/>
    <w:rsid w:val="006504C8"/>
    <w:rsid w:val="00653B98"/>
    <w:rsid w:val="00654FAE"/>
    <w:rsid w:val="00656AA6"/>
    <w:rsid w:val="0066181C"/>
    <w:rsid w:val="00663BD9"/>
    <w:rsid w:val="006846AB"/>
    <w:rsid w:val="00684A72"/>
    <w:rsid w:val="00696AA8"/>
    <w:rsid w:val="006A2058"/>
    <w:rsid w:val="006A2B5E"/>
    <w:rsid w:val="006A6368"/>
    <w:rsid w:val="006C01D2"/>
    <w:rsid w:val="006C17E8"/>
    <w:rsid w:val="006D6D34"/>
    <w:rsid w:val="00700F3D"/>
    <w:rsid w:val="00703087"/>
    <w:rsid w:val="00706163"/>
    <w:rsid w:val="00717E68"/>
    <w:rsid w:val="00726C42"/>
    <w:rsid w:val="007334B8"/>
    <w:rsid w:val="00734B65"/>
    <w:rsid w:val="0074091A"/>
    <w:rsid w:val="00754AC2"/>
    <w:rsid w:val="00755948"/>
    <w:rsid w:val="00764929"/>
    <w:rsid w:val="00780312"/>
    <w:rsid w:val="00780F3D"/>
    <w:rsid w:val="00781387"/>
    <w:rsid w:val="00782AC8"/>
    <w:rsid w:val="00784401"/>
    <w:rsid w:val="007910D9"/>
    <w:rsid w:val="007914AF"/>
    <w:rsid w:val="00792424"/>
    <w:rsid w:val="007A5A7B"/>
    <w:rsid w:val="007B21DC"/>
    <w:rsid w:val="007C2525"/>
    <w:rsid w:val="007C6898"/>
    <w:rsid w:val="007D2B9D"/>
    <w:rsid w:val="007D3666"/>
    <w:rsid w:val="007E5B6C"/>
    <w:rsid w:val="007F2446"/>
    <w:rsid w:val="0081079F"/>
    <w:rsid w:val="00812C20"/>
    <w:rsid w:val="00821EF8"/>
    <w:rsid w:val="00823693"/>
    <w:rsid w:val="0083665A"/>
    <w:rsid w:val="00841550"/>
    <w:rsid w:val="0084162B"/>
    <w:rsid w:val="00843F07"/>
    <w:rsid w:val="00847C46"/>
    <w:rsid w:val="008558A7"/>
    <w:rsid w:val="00865149"/>
    <w:rsid w:val="008665DD"/>
    <w:rsid w:val="00875AAC"/>
    <w:rsid w:val="008762CC"/>
    <w:rsid w:val="008772F7"/>
    <w:rsid w:val="00882274"/>
    <w:rsid w:val="008827E4"/>
    <w:rsid w:val="00886845"/>
    <w:rsid w:val="0089203F"/>
    <w:rsid w:val="008A5206"/>
    <w:rsid w:val="008B39D7"/>
    <w:rsid w:val="008C583B"/>
    <w:rsid w:val="008D5BE7"/>
    <w:rsid w:val="008D657D"/>
    <w:rsid w:val="008D7D36"/>
    <w:rsid w:val="008E066B"/>
    <w:rsid w:val="008E33CF"/>
    <w:rsid w:val="008E56A1"/>
    <w:rsid w:val="008F5A9F"/>
    <w:rsid w:val="00903C48"/>
    <w:rsid w:val="00906DA0"/>
    <w:rsid w:val="00906E13"/>
    <w:rsid w:val="009314A6"/>
    <w:rsid w:val="009358F3"/>
    <w:rsid w:val="0094306A"/>
    <w:rsid w:val="009448C3"/>
    <w:rsid w:val="00973352"/>
    <w:rsid w:val="00977132"/>
    <w:rsid w:val="00982D90"/>
    <w:rsid w:val="009B4276"/>
    <w:rsid w:val="009C2DE4"/>
    <w:rsid w:val="009D1103"/>
    <w:rsid w:val="009D4A06"/>
    <w:rsid w:val="009D4FF0"/>
    <w:rsid w:val="009D55E0"/>
    <w:rsid w:val="009F0E7E"/>
    <w:rsid w:val="009F1FB9"/>
    <w:rsid w:val="009F23B5"/>
    <w:rsid w:val="00A15C5E"/>
    <w:rsid w:val="00A16009"/>
    <w:rsid w:val="00A22B1A"/>
    <w:rsid w:val="00A41DAD"/>
    <w:rsid w:val="00A530B0"/>
    <w:rsid w:val="00A60DD1"/>
    <w:rsid w:val="00A625B1"/>
    <w:rsid w:val="00A70137"/>
    <w:rsid w:val="00A72BB5"/>
    <w:rsid w:val="00A81208"/>
    <w:rsid w:val="00AA52D7"/>
    <w:rsid w:val="00AB6B5D"/>
    <w:rsid w:val="00AC2041"/>
    <w:rsid w:val="00AC2603"/>
    <w:rsid w:val="00AD1C1C"/>
    <w:rsid w:val="00AE021D"/>
    <w:rsid w:val="00AE06B4"/>
    <w:rsid w:val="00AE6B9F"/>
    <w:rsid w:val="00AF1989"/>
    <w:rsid w:val="00B13237"/>
    <w:rsid w:val="00B24F04"/>
    <w:rsid w:val="00B302C2"/>
    <w:rsid w:val="00B33BF4"/>
    <w:rsid w:val="00B37148"/>
    <w:rsid w:val="00B428C4"/>
    <w:rsid w:val="00B566BA"/>
    <w:rsid w:val="00B70CFD"/>
    <w:rsid w:val="00B75A69"/>
    <w:rsid w:val="00B77EAA"/>
    <w:rsid w:val="00B908E7"/>
    <w:rsid w:val="00B94DDE"/>
    <w:rsid w:val="00BA3BA6"/>
    <w:rsid w:val="00BA78FA"/>
    <w:rsid w:val="00BB6FD8"/>
    <w:rsid w:val="00BC475C"/>
    <w:rsid w:val="00BC75B0"/>
    <w:rsid w:val="00BD27D8"/>
    <w:rsid w:val="00BD3701"/>
    <w:rsid w:val="00BD6F29"/>
    <w:rsid w:val="00BE1C95"/>
    <w:rsid w:val="00BE3851"/>
    <w:rsid w:val="00BE77E4"/>
    <w:rsid w:val="00C029D8"/>
    <w:rsid w:val="00C03CD9"/>
    <w:rsid w:val="00C06444"/>
    <w:rsid w:val="00C06FC6"/>
    <w:rsid w:val="00C279C4"/>
    <w:rsid w:val="00C307B7"/>
    <w:rsid w:val="00C4009F"/>
    <w:rsid w:val="00C44B3D"/>
    <w:rsid w:val="00C56FE8"/>
    <w:rsid w:val="00C718B7"/>
    <w:rsid w:val="00C77EB9"/>
    <w:rsid w:val="00C80BE5"/>
    <w:rsid w:val="00C8204E"/>
    <w:rsid w:val="00C95174"/>
    <w:rsid w:val="00C976AE"/>
    <w:rsid w:val="00CB0F0F"/>
    <w:rsid w:val="00CB513E"/>
    <w:rsid w:val="00CB5436"/>
    <w:rsid w:val="00CC1C04"/>
    <w:rsid w:val="00CC5BFD"/>
    <w:rsid w:val="00CD744C"/>
    <w:rsid w:val="00CE07A2"/>
    <w:rsid w:val="00CE2D6B"/>
    <w:rsid w:val="00CE5F8C"/>
    <w:rsid w:val="00D04284"/>
    <w:rsid w:val="00D07A47"/>
    <w:rsid w:val="00D304E0"/>
    <w:rsid w:val="00D558AC"/>
    <w:rsid w:val="00D57A2F"/>
    <w:rsid w:val="00D70DD5"/>
    <w:rsid w:val="00D77633"/>
    <w:rsid w:val="00D779EC"/>
    <w:rsid w:val="00D82849"/>
    <w:rsid w:val="00D86687"/>
    <w:rsid w:val="00D95DCD"/>
    <w:rsid w:val="00D9768A"/>
    <w:rsid w:val="00D979A3"/>
    <w:rsid w:val="00DB357B"/>
    <w:rsid w:val="00DB5BA7"/>
    <w:rsid w:val="00DB6B75"/>
    <w:rsid w:val="00DC0181"/>
    <w:rsid w:val="00DC0E0E"/>
    <w:rsid w:val="00DC7F9A"/>
    <w:rsid w:val="00DD5ADD"/>
    <w:rsid w:val="00DE5B42"/>
    <w:rsid w:val="00DF0302"/>
    <w:rsid w:val="00DF6031"/>
    <w:rsid w:val="00E023B4"/>
    <w:rsid w:val="00E023E8"/>
    <w:rsid w:val="00E040CE"/>
    <w:rsid w:val="00E1366C"/>
    <w:rsid w:val="00E2445F"/>
    <w:rsid w:val="00E3184C"/>
    <w:rsid w:val="00E3766E"/>
    <w:rsid w:val="00E42FBE"/>
    <w:rsid w:val="00E45438"/>
    <w:rsid w:val="00E707A6"/>
    <w:rsid w:val="00E747CC"/>
    <w:rsid w:val="00E8669C"/>
    <w:rsid w:val="00E96374"/>
    <w:rsid w:val="00E96686"/>
    <w:rsid w:val="00E97156"/>
    <w:rsid w:val="00ED35E9"/>
    <w:rsid w:val="00EE34EA"/>
    <w:rsid w:val="00EE48E7"/>
    <w:rsid w:val="00EF07C9"/>
    <w:rsid w:val="00EF6FFE"/>
    <w:rsid w:val="00EF7253"/>
    <w:rsid w:val="00F14247"/>
    <w:rsid w:val="00F3604E"/>
    <w:rsid w:val="00F37810"/>
    <w:rsid w:val="00F408E7"/>
    <w:rsid w:val="00F43F67"/>
    <w:rsid w:val="00F500A6"/>
    <w:rsid w:val="00F5198E"/>
    <w:rsid w:val="00F71EE6"/>
    <w:rsid w:val="00F74D93"/>
    <w:rsid w:val="00FA1591"/>
    <w:rsid w:val="00FA67BF"/>
    <w:rsid w:val="00FB2D40"/>
    <w:rsid w:val="00FB6841"/>
    <w:rsid w:val="00FB7DA1"/>
    <w:rsid w:val="00FC6C9C"/>
    <w:rsid w:val="00FC721D"/>
    <w:rsid w:val="00FD1091"/>
    <w:rsid w:val="00FD7475"/>
    <w:rsid w:val="00FE1BAF"/>
    <w:rsid w:val="00FE2C05"/>
    <w:rsid w:val="00FE4792"/>
    <w:rsid w:val="00FE5DE6"/>
    <w:rsid w:val="00FF2296"/>
    <w:rsid w:val="00FF7373"/>
    <w:rsid w:val="053A6F4C"/>
    <w:rsid w:val="11ED1C8A"/>
    <w:rsid w:val="131238FE"/>
    <w:rsid w:val="143E4A1F"/>
    <w:rsid w:val="1FC61D6D"/>
    <w:rsid w:val="22F23006"/>
    <w:rsid w:val="264B03E1"/>
    <w:rsid w:val="26A322CE"/>
    <w:rsid w:val="28F82606"/>
    <w:rsid w:val="29DF48AB"/>
    <w:rsid w:val="2B295B56"/>
    <w:rsid w:val="33372E6E"/>
    <w:rsid w:val="3BD22C55"/>
    <w:rsid w:val="3E61123B"/>
    <w:rsid w:val="42816F85"/>
    <w:rsid w:val="443B7D84"/>
    <w:rsid w:val="45296701"/>
    <w:rsid w:val="47E8069D"/>
    <w:rsid w:val="4AAA793A"/>
    <w:rsid w:val="4AB0763B"/>
    <w:rsid w:val="4C2E37C9"/>
    <w:rsid w:val="540C5299"/>
    <w:rsid w:val="56D87404"/>
    <w:rsid w:val="56FC342C"/>
    <w:rsid w:val="5864591F"/>
    <w:rsid w:val="5D34286F"/>
    <w:rsid w:val="603D383B"/>
    <w:rsid w:val="60F7723E"/>
    <w:rsid w:val="65453638"/>
    <w:rsid w:val="658D5941"/>
    <w:rsid w:val="68DB5534"/>
    <w:rsid w:val="69AE47E0"/>
    <w:rsid w:val="6AAF1853"/>
    <w:rsid w:val="6BAF7336"/>
    <w:rsid w:val="708E54E7"/>
    <w:rsid w:val="713708AB"/>
    <w:rsid w:val="73DE36E2"/>
    <w:rsid w:val="74213FF1"/>
    <w:rsid w:val="7478796A"/>
    <w:rsid w:val="758B11F4"/>
    <w:rsid w:val="79E87A8A"/>
    <w:rsid w:val="7A1D4EE2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annotation reference"/>
    <w:basedOn w:val="8"/>
    <w:qFormat/>
    <w:uiPriority w:val="0"/>
    <w:rPr>
      <w:sz w:val="16"/>
      <w:szCs w:val="16"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paragraph" w:styleId="13">
    <w:name w:val="List"/>
    <w:basedOn w:val="14"/>
    <w:qFormat/>
    <w:uiPriority w:val="0"/>
  </w:style>
  <w:style w:type="paragraph" w:styleId="14">
    <w:name w:val="Body Text"/>
    <w:basedOn w:val="1"/>
    <w:qFormat/>
    <w:uiPriority w:val="0"/>
    <w:pPr>
      <w:spacing w:after="140"/>
    </w:pPr>
  </w:style>
  <w:style w:type="paragraph" w:styleId="15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  <w:style w:type="paragraph" w:styleId="16">
    <w:name w:val="Title"/>
    <w:basedOn w:val="1"/>
    <w:next w:val="14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Normal (Web)"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8">
    <w:name w:val="header"/>
    <w:basedOn w:val="1"/>
    <w:qFormat/>
    <w:uiPriority w:val="0"/>
    <w:pPr>
      <w:tabs>
        <w:tab w:val="center" w:pos="4252"/>
        <w:tab w:val="right" w:pos="8504"/>
      </w:tabs>
      <w:spacing w:line="240" w:lineRule="auto"/>
    </w:pPr>
  </w:style>
  <w:style w:type="paragraph" w:styleId="19">
    <w:name w:val="annotation subject"/>
    <w:basedOn w:val="15"/>
    <w:next w:val="15"/>
    <w:qFormat/>
    <w:uiPriority w:val="0"/>
    <w:rPr>
      <w:b/>
      <w:bCs/>
    </w:rPr>
  </w:style>
  <w:style w:type="paragraph" w:styleId="20">
    <w:name w:val="footer"/>
    <w:basedOn w:val="1"/>
    <w:qFormat/>
    <w:uiPriority w:val="0"/>
    <w:pPr>
      <w:tabs>
        <w:tab w:val="center" w:pos="4252"/>
        <w:tab w:val="right" w:pos="8504"/>
      </w:tabs>
      <w:spacing w:line="240" w:lineRule="auto"/>
    </w:pPr>
  </w:style>
  <w:style w:type="paragraph" w:styleId="2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22">
    <w:name w:val="Balloon Text"/>
    <w:basedOn w:val="1"/>
    <w:qFormat/>
    <w:uiPriority w:val="0"/>
    <w:pPr>
      <w:spacing w:line="240" w:lineRule="auto"/>
    </w:pPr>
    <w:rPr>
      <w:rFonts w:ascii="Tahoma" w:hAnsi="Tahoma" w:cs="Tahoma"/>
      <w:sz w:val="16"/>
      <w:szCs w:val="16"/>
    </w:rPr>
  </w:style>
  <w:style w:type="paragraph" w:styleId="2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4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Cabeçalho Char"/>
    <w:basedOn w:val="8"/>
    <w:qFormat/>
    <w:uiPriority w:val="0"/>
  </w:style>
  <w:style w:type="character" w:customStyle="1" w:styleId="26">
    <w:name w:val="Rodapé Char"/>
    <w:basedOn w:val="8"/>
    <w:qFormat/>
    <w:uiPriority w:val="0"/>
  </w:style>
  <w:style w:type="character" w:customStyle="1" w:styleId="27">
    <w:name w:val="Link da Internet"/>
    <w:basedOn w:val="8"/>
    <w:qFormat/>
    <w:uiPriority w:val="0"/>
    <w:rPr>
      <w:color w:val="0000FF"/>
      <w:u w:val="single"/>
    </w:rPr>
  </w:style>
  <w:style w:type="character" w:customStyle="1" w:styleId="28">
    <w:name w:val="Menção Pendente1"/>
    <w:basedOn w:val="8"/>
    <w:qFormat/>
    <w:uiPriority w:val="0"/>
    <w:rPr>
      <w:color w:val="605E5C"/>
      <w:shd w:val="clear" w:color="auto" w:fill="E1DFDD"/>
    </w:rPr>
  </w:style>
  <w:style w:type="character" w:customStyle="1" w:styleId="29">
    <w:name w:val="Texto de comentário Char"/>
    <w:basedOn w:val="8"/>
    <w:qFormat/>
    <w:uiPriority w:val="0"/>
    <w:rPr>
      <w:sz w:val="20"/>
      <w:szCs w:val="20"/>
    </w:rPr>
  </w:style>
  <w:style w:type="character" w:customStyle="1" w:styleId="30">
    <w:name w:val="Assunto do comentário Char"/>
    <w:basedOn w:val="29"/>
    <w:qFormat/>
    <w:uiPriority w:val="0"/>
    <w:rPr>
      <w:b/>
      <w:bCs/>
      <w:sz w:val="20"/>
      <w:szCs w:val="20"/>
    </w:rPr>
  </w:style>
  <w:style w:type="character" w:customStyle="1" w:styleId="31">
    <w:name w:val="Menção Pendente2"/>
    <w:basedOn w:val="8"/>
    <w:qFormat/>
    <w:uiPriority w:val="0"/>
    <w:rPr>
      <w:color w:val="605E5C"/>
      <w:shd w:val="clear" w:color="auto" w:fill="E1DFDD"/>
    </w:rPr>
  </w:style>
  <w:style w:type="character" w:customStyle="1" w:styleId="32">
    <w:name w:val="Texto de balão Char"/>
    <w:basedOn w:val="8"/>
    <w:qFormat/>
    <w:uiPriority w:val="0"/>
    <w:rPr>
      <w:rFonts w:ascii="Tahoma" w:hAnsi="Tahoma" w:cs="Tahoma"/>
      <w:sz w:val="16"/>
      <w:szCs w:val="16"/>
    </w:rPr>
  </w:style>
  <w:style w:type="paragraph" w:customStyle="1" w:styleId="33">
    <w:name w:val="Índice"/>
    <w:basedOn w:val="1"/>
    <w:qFormat/>
    <w:uiPriority w:val="0"/>
    <w:pPr>
      <w:suppressLineNumbers/>
    </w:p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customStyle="1" w:styleId="35">
    <w:name w:val="Cabeçalho e Rodapé"/>
    <w:basedOn w:val="1"/>
    <w:qFormat/>
    <w:uiPriority w:val="0"/>
  </w:style>
  <w:style w:type="paragraph" w:customStyle="1" w:styleId="36">
    <w:name w:val="Grade Média 1 - Ênfase 21"/>
    <w:basedOn w:val="1"/>
    <w:qFormat/>
    <w:uiPriority w:val="0"/>
    <w:pPr>
      <w:spacing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37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8">
    <w:name w:val="Título de tabela"/>
    <w:basedOn w:val="37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3</Pages>
  <Words>891</Words>
  <Characters>4814</Characters>
  <Lines>40</Lines>
  <Paragraphs>11</Paragraphs>
  <TotalTime>7</TotalTime>
  <ScaleCrop>false</ScaleCrop>
  <LinksUpToDate>false</LinksUpToDate>
  <CharactersWithSpaces>5694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2022-08-05T08:09:00Z</dcterms:created>
  <dc:creator>Danilo Coelho</dc:creator>
  <cp:lastModifiedBy>Coordenação de Atenção à </cp:lastModifiedBy>
  <cp:lastPrinted>2021-12-01T12:02:00Z</cp:lastPrinted>
  <dcterms:modified xsi:type="dcterms:W3CDTF">2022-08-08T17:43:44Z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1046-11.2.0.11254</vt:lpwstr>
  </property>
  <property fmtid="{D5CDD505-2E9C-101B-9397-08002B2CF9AE}" pid="7" name="ICV">
    <vt:lpwstr>A74DA558E56748658C5055D23E6B892D</vt:lpwstr>
  </property>
</Properties>
</file>