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173480" cy="1173480"/>
            <wp:effectExtent b="0" l="0" r="0" t="0"/>
            <wp:docPr descr="Armas Nacionais — Português (Brasil)" id="1" name="image1.jpg"/>
            <a:graphic>
              <a:graphicData uri="http://schemas.openxmlformats.org/drawingml/2006/picture">
                <pic:pic>
                  <pic:nvPicPr>
                    <pic:cNvPr descr="Armas Nacionais — Português (Brasil)" id="0" name="image1.jpg"/>
                    <pic:cNvPicPr preferRelativeResize="0"/>
                  </pic:nvPicPr>
                  <pic:blipFill>
                    <a:blip r:embed="rId6"/>
                    <a:srcRect b="0" l="0" r="0" t="0"/>
                    <a:stretch>
                      <a:fillRect/>
                    </a:stretch>
                  </pic:blipFill>
                  <pic:spPr>
                    <a:xfrm>
                      <a:off x="0" y="0"/>
                      <a:ext cx="1173480" cy="11734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ind w:right="-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MINISTÉRIO DA EDUCAÇÃO</w:t>
      </w:r>
      <w:r w:rsidDel="00000000" w:rsidR="00000000" w:rsidRPr="00000000">
        <w:rPr>
          <w:rtl w:val="0"/>
        </w:rPr>
      </w:r>
    </w:p>
    <w:p w:rsidR="00000000" w:rsidDel="00000000" w:rsidP="00000000" w:rsidRDefault="00000000" w:rsidRPr="00000000" w14:paraId="00000003">
      <w:pPr>
        <w:spacing w:line="240" w:lineRule="auto"/>
        <w:ind w:right="-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UNIVERSIDADE FEDERAL RURAL DE PERNAMBUCO</w:t>
      </w:r>
      <w:r w:rsidDel="00000000" w:rsidR="00000000" w:rsidRPr="00000000">
        <w:rPr>
          <w:rtl w:val="0"/>
        </w:rPr>
      </w:r>
    </w:p>
    <w:p w:rsidR="00000000" w:rsidDel="00000000" w:rsidP="00000000" w:rsidRDefault="00000000" w:rsidRPr="00000000" w14:paraId="00000004">
      <w:pPr>
        <w:spacing w:line="240" w:lineRule="auto"/>
        <w:ind w:right="-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PRÓ-REITORIA DE ENSINO DE GRADUAÇÃO</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5">
      <w:pPr>
        <w:spacing w:line="240" w:lineRule="auto"/>
        <w:ind w:right="-7"/>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ERRATA II</w:t>
      </w:r>
    </w:p>
    <w:p w:rsidR="00000000" w:rsidDel="00000000" w:rsidP="00000000" w:rsidRDefault="00000000" w:rsidRPr="00000000" w14:paraId="00000006">
      <w:pPr>
        <w:spacing w:line="240" w:lineRule="auto"/>
        <w:ind w:right="-7"/>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spacing w:line="240" w:lineRule="auto"/>
        <w:ind w:right="-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Errata ao edital nº 03/2023 do </w:t>
      </w:r>
      <w:r w:rsidDel="00000000" w:rsidR="00000000" w:rsidRPr="00000000">
        <w:rPr>
          <w:rFonts w:ascii="Times New Roman" w:cs="Times New Roman" w:eastAsia="Times New Roman" w:hAnsi="Times New Roman"/>
          <w:sz w:val="24"/>
          <w:szCs w:val="24"/>
          <w:rtl w:val="0"/>
        </w:rPr>
        <w:t xml:space="preserve">Processo Seletivo para o preenchimento de vagas não ocupadas na primeira edição do SiSU 2022 </w:t>
      </w:r>
      <w:r w:rsidDel="00000000" w:rsidR="00000000" w:rsidRPr="00000000">
        <w:rPr>
          <w:rFonts w:ascii="Times New Roman" w:cs="Times New Roman" w:eastAsia="Times New Roman" w:hAnsi="Times New Roman"/>
          <w:sz w:val="24"/>
          <w:szCs w:val="24"/>
          <w:highlight w:val="white"/>
          <w:rtl w:val="0"/>
        </w:rPr>
        <w:t xml:space="preserve">para ingresso no semestre letivo de 2022.2 </w:t>
      </w:r>
      <w:r w:rsidDel="00000000" w:rsidR="00000000" w:rsidRPr="00000000">
        <w:rPr>
          <w:rFonts w:ascii="Times New Roman" w:cs="Times New Roman" w:eastAsia="Times New Roman" w:hAnsi="Times New Roman"/>
          <w:sz w:val="24"/>
          <w:szCs w:val="24"/>
          <w:rtl w:val="0"/>
        </w:rPr>
        <w:t xml:space="preserve">e cadastro de suplente nos cursos presenciais da Sede-Dois Irmãos</w:t>
      </w:r>
      <w:r w:rsidDel="00000000" w:rsidR="00000000" w:rsidRPr="00000000">
        <w:rPr>
          <w:rFonts w:ascii="Times New Roman" w:cs="Times New Roman" w:eastAsia="Times New Roman" w:hAnsi="Times New Roman"/>
          <w:sz w:val="24"/>
          <w:szCs w:val="24"/>
          <w:highlight w:val="white"/>
          <w:rtl w:val="0"/>
        </w:rPr>
        <w:t xml:space="preserve">, Unidade Acadêmica de Serra Talhada (UAST), Unidade Acadêmica do Cabo de Santo Agostinho (UACSA) e Unidade  Acadêmica de Belo Jardim (UABJ).</w:t>
      </w:r>
      <w:r w:rsidDel="00000000" w:rsidR="00000000" w:rsidRPr="00000000">
        <w:rPr>
          <w:rtl w:val="0"/>
        </w:rPr>
      </w:r>
    </w:p>
    <w:p w:rsidR="00000000" w:rsidDel="00000000" w:rsidP="00000000" w:rsidRDefault="00000000" w:rsidRPr="00000000" w14:paraId="00000008">
      <w:pPr>
        <w:spacing w:line="240" w:lineRule="auto"/>
        <w:ind w:right="-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right="-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Onde lê-se:</w:t>
      </w:r>
    </w:p>
    <w:p w:rsidR="00000000" w:rsidDel="00000000" w:rsidP="00000000" w:rsidRDefault="00000000" w:rsidRPr="00000000" w14:paraId="0000000A">
      <w:pPr>
        <w:spacing w:line="240" w:lineRule="auto"/>
        <w:ind w:left="284" w:right="-7"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ind w:left="284" w:right="-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Não é permitido solicitar mudança ou desistência de ação afirmativa após o período de inscrição, cabendo exclusivamente ao candidato analisar com atenção os requisitos e documentos exigidos para cada modalidade de concorrência de vagas.</w:t>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Leia-se:</w:t>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ind w:left="284" w:right="-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Não é permitido solicitar mudança ou desistência de ação afirmativa após o período de inscrição, cabendo exclusivamente ao candidato analisar com atenção os requisitos e documentos exigidos para cada modalidade de concorrência de vagas.</w:t>
      </w:r>
    </w:p>
    <w:p w:rsidR="00000000" w:rsidDel="00000000" w:rsidP="00000000" w:rsidRDefault="00000000" w:rsidRPr="00000000" w14:paraId="00000010">
      <w:pPr>
        <w:widowControl w:val="0"/>
        <w:spacing w:line="229" w:lineRule="auto"/>
        <w:ind w:left="850.3937007874017" w:right="828" w:firstLine="150"/>
        <w:jc w:val="both"/>
        <w:rPr>
          <w:rFonts w:ascii="Times New Roman" w:cs="Times New Roman" w:eastAsia="Times New Roman" w:hAnsi="Times New Roman"/>
          <w:sz w:val="24"/>
          <w:szCs w:val="24"/>
        </w:rPr>
      </w:pPr>
      <w:r w:rsidDel="00000000" w:rsidR="00000000" w:rsidRPr="00000000">
        <w:rPr>
          <w:rFonts w:ascii="Times" w:cs="Times" w:eastAsia="Times" w:hAnsi="Times"/>
          <w:sz w:val="24"/>
          <w:szCs w:val="24"/>
          <w:rtl w:val="0"/>
        </w:rPr>
        <w:t xml:space="preserve">3.3.1. O candidato que tenha cursado integralmente o ensino médio em qualquer  uma das escolas situadas nas microrregiões do Agreste ou do Sertão de  Pernambuco que  optem por esta Ação Afirmativa, se devidamente comprovado, receberá um  bônus de 10% no cômputo geral da nota do Enem, caso opte por concorrer uma vaga nos cursos da Unidades Acadêmicas de Serra Talhada (UAST) e da Unidade Acadêmica de Belo Jardim (UABJ). </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right="-8"/>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02 de fevereiro de 2023</w:t>
      </w:r>
    </w:p>
    <w:p w:rsidR="00000000" w:rsidDel="00000000" w:rsidP="00000000" w:rsidRDefault="00000000" w:rsidRPr="00000000" w14:paraId="00000014">
      <w:pPr>
        <w:spacing w:line="240" w:lineRule="auto"/>
        <w:ind w:right="-8"/>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ind w:right="-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Marcelo Brito Carneiro Leão</w:t>
      </w:r>
    </w:p>
    <w:p w:rsidR="00000000" w:rsidDel="00000000" w:rsidP="00000000" w:rsidRDefault="00000000" w:rsidRPr="00000000" w14:paraId="00000016">
      <w:pPr>
        <w:spacing w:line="240" w:lineRule="auto"/>
        <w:ind w:right="-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Reitor</w:t>
      </w:r>
    </w:p>
    <w:p w:rsidR="00000000" w:rsidDel="00000000" w:rsidP="00000000" w:rsidRDefault="00000000" w:rsidRPr="00000000" w14:paraId="00000017">
      <w:pPr>
        <w:spacing w:line="240" w:lineRule="auto"/>
        <w:ind w:right="-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do Socorro de Lima Oliveira</w:t>
      </w:r>
    </w:p>
    <w:p w:rsidR="00000000" w:rsidDel="00000000" w:rsidP="00000000" w:rsidRDefault="00000000" w:rsidRPr="00000000" w14:paraId="00000018">
      <w:pPr>
        <w:spacing w:line="240" w:lineRule="auto"/>
        <w:ind w:right="-8"/>
        <w:jc w:val="center"/>
        <w:rPr/>
      </w:pPr>
      <w:r w:rsidDel="00000000" w:rsidR="00000000" w:rsidRPr="00000000">
        <w:rPr>
          <w:rFonts w:ascii="Times New Roman" w:cs="Times New Roman" w:eastAsia="Times New Roman" w:hAnsi="Times New Roman"/>
          <w:sz w:val="24"/>
          <w:szCs w:val="24"/>
          <w:rtl w:val="0"/>
        </w:rPr>
        <w:t xml:space="preserve">Pró-Reitora de Ensino de Graduação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