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240" w:lineRule="auto"/>
        <w:jc w:val="both"/>
        <w:rPr>
          <w:b w:val="1"/>
          <w:color w:val="202124"/>
          <w:sz w:val="20"/>
          <w:szCs w:val="20"/>
        </w:rPr>
      </w:pPr>
      <w:r w:rsidDel="00000000" w:rsidR="00000000" w:rsidRPr="00000000">
        <w:rPr>
          <w:b w:val="1"/>
          <w:color w:val="202124"/>
          <w:sz w:val="20"/>
          <w:szCs w:val="20"/>
          <w:rtl w:val="0"/>
        </w:rPr>
        <w:t xml:space="preserve">1 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Pontos disciplina: </w:t>
      </w:r>
      <w:r w:rsidDel="00000000" w:rsidR="00000000" w:rsidRPr="00000000">
        <w:rPr>
          <w:b w:val="1"/>
          <w:color w:val="202124"/>
          <w:sz w:val="20"/>
          <w:szCs w:val="20"/>
          <w:rtl w:val="0"/>
        </w:rPr>
        <w:t xml:space="preserve">CIÊNCIA DO CONFORTO E TECNOLOGIA DOS PRODUTOS EMERGENTES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both"/>
        <w:rPr>
          <w:color w:val="222222"/>
          <w:sz w:val="20"/>
          <w:szCs w:val="20"/>
        </w:rPr>
      </w:pPr>
      <w:r w:rsidDel="00000000" w:rsidR="00000000" w:rsidRPr="00000000">
        <w:rPr>
          <w:b w:val="1"/>
          <w:color w:val="222222"/>
          <w:sz w:val="20"/>
          <w:szCs w:val="20"/>
          <w:highlight w:val="yellow"/>
          <w:rtl w:val="0"/>
        </w:rPr>
        <w:t xml:space="preserve">(Prova: 24 de Outubro)</w:t>
      </w:r>
      <w:r w:rsidDel="00000000" w:rsidR="00000000" w:rsidRPr="00000000">
        <w:rPr>
          <w:b w:val="1"/>
          <w:color w:val="202124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1) Ciência do Conforto e suas classificações: Conforto Sensorial, Conforto Termofisiológico e Conforto Psicológico e Conforto Ergonômico;</w:t>
        <w:br w:type="textWrapping"/>
        <w:t xml:space="preserve">2) Fatores influenciadores do consumo;</w:t>
        <w:br w:type="textWrapping"/>
        <w:t xml:space="preserve">3) Ferramentas de avaliação e Usabilidade;</w:t>
        <w:br w:type="textWrapping"/>
        <w:t xml:space="preserve">4) Inovação Tecnológica aplicada aos produtos têxteis: Acabamentos funcionais, Nanotecnologia, Microcápsulas; Cosmetotêxteis, etc.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both"/>
        <w:rPr>
          <w:color w:val="202124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Bibliografia:</w:t>
      </w:r>
      <w:r w:rsidDel="00000000" w:rsidR="00000000" w:rsidRPr="00000000">
        <w:rPr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both"/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1. ARAÚJO, Mário de; FANGUEIRO, Raúl; HONG, Hu. Têxteis técnicos: materiais do novo milênio - visão</w:t>
        <w:br w:type="textWrapping"/>
        <w:t xml:space="preserve">geral, v. 1, 2 e 3. Braga, Portugal: Williams, 2000.</w:t>
        <w:br w:type="textWrapping"/>
        <w:t xml:space="preserve">2. SANCHEZ J.C. Têxteis inteligentes. Revista Química Têxtil. n.82, p. 58 – 78, 2006. Disponível em:</w:t>
        <w:br w:type="textWrapping"/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https://www.ufjf.br/posmoda/files/2008/07/T%C3%AAxteisinteligentes.pdf</w:t>
          <w:br w:type="textWrapping"/>
        </w:r>
      </w:hyperlink>
      <w:r w:rsidDel="00000000" w:rsidR="00000000" w:rsidRPr="00000000">
        <w:rPr>
          <w:color w:val="222222"/>
          <w:sz w:val="20"/>
          <w:szCs w:val="20"/>
          <w:rtl w:val="0"/>
        </w:rPr>
        <w:t xml:space="preserve">3. LI, Y. The Science of Clothing Comfort, Textile. Vol.31, n.1, 2002. Disponível em:</w:t>
        <w:br w:type="textWrapping"/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https://www.tandfonline.com/doi/abs/10.1080/00405160108688951</w:t>
          <w:br w:type="textWrapping"/>
        </w:r>
      </w:hyperlink>
      <w:r w:rsidDel="00000000" w:rsidR="00000000" w:rsidRPr="00000000">
        <w:rPr>
          <w:color w:val="222222"/>
          <w:sz w:val="20"/>
          <w:szCs w:val="20"/>
          <w:rtl w:val="0"/>
        </w:rPr>
        <w:t xml:space="preserve">4. BROEGA, Ana .Contribuição para a Definição de Padrões de Conforto de Tecidos Finos de Lã. PhD</w:t>
        <w:br w:type="textWrapping"/>
        <w:t xml:space="preserve">Thesis, Universidade do Minho, Guimarães, Portugal. 2008. Disponível em:</w:t>
        <w:br w:type="textWrapping"/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https://classroom.google.com/u/1/w/MTE4MzE3MDc1NzEy/tc/MTQ3MzY0OTA3NTI1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both"/>
        <w:rPr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both"/>
        <w:rPr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both"/>
        <w:rPr>
          <w:b w:val="1"/>
          <w:color w:val="202124"/>
          <w:sz w:val="20"/>
          <w:szCs w:val="20"/>
        </w:rPr>
      </w:pPr>
      <w:r w:rsidDel="00000000" w:rsidR="00000000" w:rsidRPr="00000000">
        <w:rPr>
          <w:b w:val="1"/>
          <w:color w:val="202124"/>
          <w:sz w:val="20"/>
          <w:szCs w:val="20"/>
          <w:rtl w:val="0"/>
        </w:rPr>
        <w:t xml:space="preserve">2 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Pontos disciplina: </w:t>
      </w:r>
      <w:r w:rsidDel="00000000" w:rsidR="00000000" w:rsidRPr="00000000">
        <w:rPr>
          <w:b w:val="1"/>
          <w:color w:val="202124"/>
          <w:sz w:val="20"/>
          <w:szCs w:val="20"/>
          <w:rtl w:val="0"/>
        </w:rPr>
        <w:t xml:space="preserve">TECNOLOGIA NA CADEIA TÊXTIL</w:t>
      </w:r>
    </w:p>
    <w:p w:rsidR="00000000" w:rsidDel="00000000" w:rsidP="00000000" w:rsidRDefault="00000000" w:rsidRPr="00000000" w14:paraId="00000009">
      <w:pPr>
        <w:shd w:fill="ffffff" w:val="clear"/>
        <w:spacing w:line="397.44" w:lineRule="auto"/>
        <w:jc w:val="both"/>
        <w:rPr>
          <w:b w:val="1"/>
          <w:color w:val="202124"/>
          <w:sz w:val="20"/>
          <w:szCs w:val="20"/>
        </w:rPr>
      </w:pPr>
      <w:r w:rsidDel="00000000" w:rsidR="00000000" w:rsidRPr="00000000">
        <w:rPr>
          <w:b w:val="1"/>
          <w:color w:val="222222"/>
          <w:sz w:val="20"/>
          <w:szCs w:val="20"/>
          <w:highlight w:val="yellow"/>
          <w:rtl w:val="0"/>
        </w:rPr>
        <w:t xml:space="preserve">(Prova: 24 de Outubro)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jc w:val="both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jc w:val="both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1) Composição dos materiais têxteis;</w:t>
        <w:br w:type="textWrapping"/>
        <w:t xml:space="preserve">2) Fibras Têxteis: Conceitos, classificações, características, composições e Terminologias têxteis;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jc w:val="both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3) Processo de Fiação: Equipamentos e tecnologias Fios, Conceitos, classificações, características e composições e Processo de tecelagem: Equipamentos e tecnologias;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jc w:val="both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4) Elaboração de ligamentos têxteis, teste de queima e exemplo de malharia;</w:t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jc w:val="both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5) Beneficiamentos têxteis: Conceitos, classificações, características e composições;</w:t>
        <w:br w:type="textWrapping"/>
        <w:t xml:space="preserve">6) Conservação dos produtos Têxteis, Etiquetagem e Remoção de Manchas em produtos Têxteis.</w:t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jc w:val="both"/>
        <w:rPr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jc w:val="both"/>
        <w:rPr>
          <w:color w:val="202124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Bibliografia: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jc w:val="both"/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1. ARAÚJO, Mário de; MELO E CASTRO, E. M. Manual de Engenharia Têxtil. Lisboa, Fundação</w:t>
        <w:br w:type="textWrapping"/>
        <w:t xml:space="preserve">Calouste Gulbenkian, 1984 volume 2. Parte disponível em:</w:t>
        <w:br w:type="textWrapping"/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http://submission.quimicanova.sbq.org.br/qn/qnol/1996/vol19n3/v19_n3_17.pdf</w:t>
          <w:br w:type="textWrapping"/>
        </w:r>
      </w:hyperlink>
      <w:r w:rsidDel="00000000" w:rsidR="00000000" w:rsidRPr="00000000">
        <w:rPr>
          <w:color w:val="222222"/>
          <w:sz w:val="20"/>
          <w:szCs w:val="20"/>
          <w:rtl w:val="0"/>
        </w:rPr>
        <w:t xml:space="preserve">2. CHATAIGNIER, Gilda. Todos os caminhos da moda: guia prático de estilismo e tecnologia.</w:t>
        <w:br w:type="textWrapping"/>
        <w:t xml:space="preserve">Rio de Janeiro: Rocco, 1996. 239 p. ISBN 8532505988 (broch.).</w:t>
        <w:br w:type="textWrapping"/>
        <w:t xml:space="preserve">3. Fio a Fio: tecidos, moda e linguagem. São Paulo: Estação das Letras Editora, 2006. 160p.</w:t>
        <w:br w:type="textWrapping"/>
        <w:t xml:space="preserve">4. HARRIES T. E., HARRIES N. G. Materiais têxteis. São Paulo, EPU, 1976.</w:t>
        <w:br w:type="textWrapping"/>
        <w:t xml:space="preserve">5. PEZZOLO, Dinah Bueno. Tecidos: história, tramas, tipos e usos. São Paulo: Editora Senac São</w:t>
        <w:br w:type="textWrapping"/>
        <w:t xml:space="preserve">Paulo, 2007. Parte disponível em:</w:t>
        <w:br w:type="textWrapping"/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https://www.researchgate.net/publication/311460365_DESIGN_DE_SUPERFICI</w:t>
          <w:br w:type="textWrapping"/>
        </w:r>
      </w:hyperlink>
      <w:r w:rsidDel="00000000" w:rsidR="00000000" w:rsidRPr="00000000">
        <w:rPr>
          <w:color w:val="222222"/>
          <w:sz w:val="20"/>
          <w:szCs w:val="20"/>
          <w:rtl w:val="0"/>
        </w:rPr>
        <w:t xml:space="preserve">E_TEXTIL_TECNICA_DE_ENSINO_DE_ESTRUTURAS_TEXTEIS_PLANAS</w:t>
        <w:br w:type="textWrapping"/>
        <w:t xml:space="preserve">6. ROCHA, Maria Alice Vasconcelos. Contribuição ao desenvolvimento de uma metodologia para</w:t>
        <w:br w:type="textWrapping"/>
        <w:t xml:space="preserve">caracterização do comportamento do consumidor da indústria do vestuário: uma abordagem</w:t>
        <w:br w:type="textWrapping"/>
        <w:t xml:space="preserve">segundo Maslow. Recife, 1999. xviii, 132 f.: Dissertação (mestrado) - Universidade Federal de</w:t>
        <w:br w:type="textWrapping"/>
        <w:t xml:space="preserve">Pernambuco, Recife, 1999.</w:t>
        <w:br w:type="textWrapping"/>
        <w:t xml:space="preserve">7. UDALE, Jenny. Fundamentos de design de moda: tecidos e moda. Porto Alegre: Bookman,</w:t>
        <w:br w:type="textWrapping"/>
        <w:t xml:space="preserve">2009. 176p. Disponível em:</w:t>
        <w:br w:type="textWrapping"/>
        <w:t xml:space="preserve">8. 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https://pt.scribd.com/doc/90024328/Fundamentos-Do-Design-de-Moda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jc w:val="both"/>
        <w:rPr>
          <w:b w:val="1"/>
          <w:color w:val="202124"/>
          <w:sz w:val="20"/>
          <w:szCs w:val="20"/>
          <w:highlight w:val="white"/>
        </w:rPr>
      </w:pPr>
      <w:r w:rsidDel="00000000" w:rsidR="00000000" w:rsidRPr="00000000">
        <w:rPr>
          <w:color w:val="202124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b w:val="1"/>
          <w:color w:val="202124"/>
          <w:sz w:val="20"/>
          <w:szCs w:val="20"/>
          <w:rtl w:val="0"/>
        </w:rPr>
        <w:t xml:space="preserve">3.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 Pontos da disciplina: </w:t>
      </w:r>
      <w:r w:rsidDel="00000000" w:rsidR="00000000" w:rsidRPr="00000000">
        <w:rPr>
          <w:b w:val="1"/>
          <w:color w:val="202124"/>
          <w:sz w:val="20"/>
          <w:szCs w:val="20"/>
          <w:highlight w:val="white"/>
          <w:rtl w:val="0"/>
        </w:rPr>
        <w:t xml:space="preserve">REPRESENTAÇÃO GRÁFICA DE PRODUTOS E SERVIÇOS</w:t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color w:val="222222"/>
          <w:sz w:val="20"/>
          <w:szCs w:val="20"/>
          <w:highlight w:val="yellow"/>
          <w:rtl w:val="0"/>
        </w:rPr>
        <w:t xml:space="preserve">(Prova: 24 de Outubro)</w:t>
      </w:r>
      <w:r w:rsidDel="00000000" w:rsidR="00000000" w:rsidRPr="00000000">
        <w:rPr>
          <w:color w:val="202124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1) </w:t>
      </w:r>
      <w:r w:rsidDel="00000000" w:rsidR="00000000" w:rsidRPr="00000000">
        <w:rPr>
          <w:sz w:val="20"/>
          <w:szCs w:val="20"/>
          <w:rtl w:val="0"/>
        </w:rPr>
        <w:t xml:space="preserve">Desenho de observação</w:t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Ver e Perceber. </w:t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Ponto, Linhas, Ângulos, Formas, Texturas, 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Teoria das Cores. </w:t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5) Desenhos bidimensionais e tridimensionais. </w:t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6) Desenho técnico e Representações Gráficas. </w:t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Bibliografia:</w:t>
      </w:r>
    </w:p>
    <w:p w:rsidR="00000000" w:rsidDel="00000000" w:rsidP="00000000" w:rsidRDefault="00000000" w:rsidRPr="00000000" w14:paraId="0000001B">
      <w:pPr>
        <w:shd w:fill="ffffff" w:val="clear"/>
        <w:spacing w:before="100" w:line="240" w:lineRule="auto"/>
        <w:ind w:left="18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Básica: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line="240" w:lineRule="auto"/>
        <w:ind w:left="94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ARNHEIM, Rudolf. Arte e percepção visual. São Paulo: Editora: Cengage Learning; Edição: Revised 2016.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line="240" w:lineRule="auto"/>
        <w:ind w:left="94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MONTENEGRO, Gildo A. Desenho arquitetônico. 4. ed. São Paulo: Edgard Blucher, 2017.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line="240" w:lineRule="auto"/>
        <w:ind w:left="94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PIPES, Alan. Desenho para designers: habilidades de desenho, esboços de conceitos, design auxiliado por computador, ilustração. São Paulo: Editora Blucher, 2010. </w:t>
      </w:r>
    </w:p>
    <w:p w:rsidR="00000000" w:rsidDel="00000000" w:rsidP="00000000" w:rsidRDefault="00000000" w:rsidRPr="00000000" w14:paraId="0000001F">
      <w:pPr>
        <w:shd w:fill="ffffff" w:val="clear"/>
        <w:spacing w:before="100" w:line="240" w:lineRule="auto"/>
        <w:ind w:left="18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Complementar: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spacing w:line="240" w:lineRule="auto"/>
        <w:ind w:left="94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ALBERS, Josef. A interação da cor. São Paulo: WMF Martins Fontes, 2009.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spacing w:line="240" w:lineRule="auto"/>
        <w:ind w:left="94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BARBOSA, Ana Mae; Cunha, Fernanda Pereira da (Orgs.). (2010) A abordagem triangular no ensino das artes e culturas visuais. São Paulo: Cortez. ISBN 978-85- 249-1664-9.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line="240" w:lineRule="auto"/>
        <w:ind w:left="94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DOYLE, Michael E. Desenho a cores: técnicas de desenho de projeto para arquitetos, paisagistas e designers de interiores. 2. ed. Porto Alegre: Bookman, 2002.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hd w:fill="ffffff" w:val="clear"/>
        <w:spacing w:line="240" w:lineRule="auto"/>
        <w:ind w:left="94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ELAM, Kimberly. Geometria do design: estudos sobre proporção e composição. São Paulo: Cosac Naify, 2010.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spacing w:line="240" w:lineRule="auto"/>
        <w:ind w:left="94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GOMES FILHO, J. Gestalt do objeto: sistema de leitura visual da forma. São Paulo: Escrituras Editora, 2000. </w:t>
      </w:r>
    </w:p>
    <w:p w:rsidR="00000000" w:rsidDel="00000000" w:rsidP="00000000" w:rsidRDefault="00000000" w:rsidRPr="00000000" w14:paraId="00000025">
      <w:pPr>
        <w:shd w:fill="ffffff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397.44" w:lineRule="auto"/>
        <w:jc w:val="both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397.44" w:lineRule="auto"/>
        <w:jc w:val="both"/>
        <w:rPr>
          <w:b w:val="1"/>
          <w:color w:val="222222"/>
          <w:sz w:val="20"/>
          <w:szCs w:val="20"/>
        </w:rPr>
      </w:pPr>
      <w:r w:rsidDel="00000000" w:rsidR="00000000" w:rsidRPr="00000000">
        <w:rPr>
          <w:b w:val="1"/>
          <w:color w:val="222222"/>
          <w:sz w:val="20"/>
          <w:szCs w:val="20"/>
          <w:rtl w:val="0"/>
        </w:rPr>
        <w:t xml:space="preserve">4.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Pontos da disciplina: </w:t>
      </w:r>
      <w:r w:rsidDel="00000000" w:rsidR="00000000" w:rsidRPr="00000000">
        <w:rPr>
          <w:b w:val="1"/>
          <w:color w:val="222222"/>
          <w:sz w:val="20"/>
          <w:szCs w:val="20"/>
          <w:rtl w:val="0"/>
        </w:rPr>
        <w:t xml:space="preserve">PREPARO E CONSUMO DE ALIMENTOS</w:t>
      </w:r>
    </w:p>
    <w:p w:rsidR="00000000" w:rsidDel="00000000" w:rsidP="00000000" w:rsidRDefault="00000000" w:rsidRPr="00000000" w14:paraId="00000028">
      <w:pPr>
        <w:shd w:fill="ffffff" w:val="clear"/>
        <w:spacing w:line="397.44" w:lineRule="auto"/>
        <w:jc w:val="both"/>
        <w:rPr>
          <w:color w:val="222222"/>
          <w:sz w:val="20"/>
          <w:szCs w:val="20"/>
        </w:rPr>
      </w:pPr>
      <w:r w:rsidDel="00000000" w:rsidR="00000000" w:rsidRPr="00000000">
        <w:rPr>
          <w:b w:val="1"/>
          <w:color w:val="222222"/>
          <w:sz w:val="20"/>
          <w:szCs w:val="20"/>
          <w:highlight w:val="yellow"/>
          <w:rtl w:val="0"/>
        </w:rPr>
        <w:t xml:space="preserve">(Prova: 26 de Outubro)</w:t>
      </w:r>
      <w:r w:rsidDel="00000000" w:rsidR="00000000" w:rsidRPr="00000000">
        <w:rPr>
          <w:color w:val="222222"/>
          <w:sz w:val="20"/>
          <w:szCs w:val="20"/>
          <w:rtl w:val="0"/>
        </w:rPr>
        <w:br w:type="textWrapping"/>
        <w:t xml:space="preserve">-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Seleção, aquisição e preparo dos alimentos.</w:t>
      </w:r>
    </w:p>
    <w:p w:rsidR="00000000" w:rsidDel="00000000" w:rsidP="00000000" w:rsidRDefault="00000000" w:rsidRPr="00000000" w14:paraId="00000029">
      <w:pPr>
        <w:shd w:fill="ffffff" w:val="clear"/>
        <w:spacing w:line="397.44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Metodologia para Pesos e Medidas.</w:t>
      </w:r>
    </w:p>
    <w:p w:rsidR="00000000" w:rsidDel="00000000" w:rsidP="00000000" w:rsidRDefault="00000000" w:rsidRPr="00000000" w14:paraId="0000002A">
      <w:pPr>
        <w:shd w:fill="ffffff" w:val="clear"/>
        <w:spacing w:line="397.44" w:lineRule="auto"/>
        <w:jc w:val="both"/>
        <w:rPr>
          <w:color w:val="222222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Características, propriedades e técnicas de preparo de Hortaliças e Frutas.</w:t>
      </w:r>
    </w:p>
    <w:p w:rsidR="00000000" w:rsidDel="00000000" w:rsidP="00000000" w:rsidRDefault="00000000" w:rsidRPr="00000000" w14:paraId="0000002B">
      <w:pPr>
        <w:shd w:fill="ffffff" w:val="clear"/>
        <w:spacing w:line="397.44" w:lineRule="auto"/>
        <w:jc w:val="both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- Características, propriedades e técnicas de preparo de Cereais.</w:t>
      </w:r>
    </w:p>
    <w:p w:rsidR="00000000" w:rsidDel="00000000" w:rsidP="00000000" w:rsidRDefault="00000000" w:rsidRPr="00000000" w14:paraId="0000002C">
      <w:pPr>
        <w:shd w:fill="ffffff" w:val="clear"/>
        <w:spacing w:line="397.44" w:lineRule="auto"/>
        <w:jc w:val="both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- Características, propriedades e técnicas de preparo de Leguminosas.</w:t>
      </w:r>
    </w:p>
    <w:p w:rsidR="00000000" w:rsidDel="00000000" w:rsidP="00000000" w:rsidRDefault="00000000" w:rsidRPr="00000000" w14:paraId="0000002D">
      <w:pPr>
        <w:shd w:fill="ffffff" w:val="clear"/>
        <w:spacing w:line="397.44" w:lineRule="auto"/>
        <w:jc w:val="both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- Características, propriedades e técnicas de preparo de Carnes Vermelhas, Aves e Pescados.</w:t>
      </w:r>
    </w:p>
    <w:p w:rsidR="00000000" w:rsidDel="00000000" w:rsidP="00000000" w:rsidRDefault="00000000" w:rsidRPr="00000000" w14:paraId="0000002E">
      <w:pPr>
        <w:shd w:fill="ffffff" w:val="clear"/>
        <w:spacing w:line="397.44" w:lineRule="auto"/>
        <w:jc w:val="both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- Características, propriedades e técnicas de preparo de Leite e Ovos.</w:t>
      </w:r>
    </w:p>
    <w:p w:rsidR="00000000" w:rsidDel="00000000" w:rsidP="00000000" w:rsidRDefault="00000000" w:rsidRPr="00000000" w14:paraId="0000002F">
      <w:pPr>
        <w:shd w:fill="ffffff" w:val="clear"/>
        <w:spacing w:line="397.44" w:lineRule="auto"/>
        <w:jc w:val="both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- Características, propriedades e técnicas de preparo de Óleos e Gorduras.</w:t>
      </w:r>
    </w:p>
    <w:p w:rsidR="00000000" w:rsidDel="00000000" w:rsidP="00000000" w:rsidRDefault="00000000" w:rsidRPr="00000000" w14:paraId="00000030">
      <w:pPr>
        <w:shd w:fill="ffffff" w:val="clear"/>
        <w:spacing w:line="397.44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line="397.44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Bibliografia: </w:t>
      </w:r>
    </w:p>
    <w:p w:rsidR="00000000" w:rsidDel="00000000" w:rsidP="00000000" w:rsidRDefault="00000000" w:rsidRPr="00000000" w14:paraId="00000032">
      <w:pPr>
        <w:shd w:fill="ffffff" w:val="clear"/>
        <w:spacing w:after="160" w:line="256.7994545454545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ARAÚJO, W. M. C.; MONTEBELLO; N. P.; BOTELHO, R. B. A.; BORGO, L. A. Alquimia dos Alimentos. Série Alimentos e Bebidas. Vol. 2. Brasília: Editora Senac DF. 2009, 560p.</w:t>
      </w:r>
    </w:p>
    <w:p w:rsidR="00000000" w:rsidDel="00000000" w:rsidP="00000000" w:rsidRDefault="00000000" w:rsidRPr="00000000" w14:paraId="00000033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LIVERA, A. V. S.; SALGADO, S. M. Técnica dietética: um guia prático. Recife: Ed.Universitária da UFPE, 2007.</w:t>
      </w:r>
    </w:p>
    <w:p w:rsidR="00000000" w:rsidDel="00000000" w:rsidP="00000000" w:rsidRDefault="00000000" w:rsidRPr="00000000" w14:paraId="00000034">
      <w:pPr>
        <w:shd w:fill="ffffff" w:val="clear"/>
        <w:jc w:val="both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hd w:fill="ffffff" w:val="clear"/>
        <w:spacing w:after="160" w:line="256.7994545454545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ORNELLAS, L. H. Técnica Dietética: Seleção e preparo de alimentos. 7ª Edição. Editora São Paulo: São Paulo. 2001, 330p.</w:t>
      </w:r>
    </w:p>
    <w:p w:rsidR="00000000" w:rsidDel="00000000" w:rsidP="00000000" w:rsidRDefault="00000000" w:rsidRPr="00000000" w14:paraId="00000036">
      <w:pPr>
        <w:shd w:fill="ffffff" w:val="clear"/>
        <w:spacing w:line="240" w:lineRule="auto"/>
        <w:jc w:val="both"/>
        <w:rPr>
          <w:color w:val="202124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PHILIPPI, Sonia Tucunduva; AQUINO, Rita de Cássia de, organizadoras. Dietética: princípios para o planejamento de uma alimentação saudável. Barueri, SP: Manole, 2015. 540p. Link de acesso: </w:t>
      </w:r>
      <w:hyperlink r:id="rId12">
        <w:r w:rsidDel="00000000" w:rsidR="00000000" w:rsidRPr="00000000">
          <w:rPr>
            <w:sz w:val="20"/>
            <w:szCs w:val="20"/>
            <w:u w:val="single"/>
            <w:rtl w:val="0"/>
          </w:rPr>
          <w:t xml:space="preserve">https://integrada.minhabiblioteca.com.br/#/books/9788520448670/pageid/566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line="240" w:lineRule="auto"/>
        <w:jc w:val="both"/>
        <w:rPr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pt.scribd.com/doc/90024328/Fundamentos-Do-Design-de-Moda" TargetMode="External"/><Relationship Id="rId10" Type="http://schemas.openxmlformats.org/officeDocument/2006/relationships/hyperlink" Target="https://www.researchgate.net/publication/311460365_DESIGN_DE_SUPERFICI" TargetMode="External"/><Relationship Id="rId12" Type="http://schemas.openxmlformats.org/officeDocument/2006/relationships/hyperlink" Target="https://integrada.minhabiblioteca.com.br/#/books/9788520448670/pageid/566" TargetMode="External"/><Relationship Id="rId9" Type="http://schemas.openxmlformats.org/officeDocument/2006/relationships/hyperlink" Target="http://submission.quimicanova.sbq.org.br/qn/qnol/1996/vol19n3/v19_n3_17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ufjf.br/posmoda/files/2008/07/T%C3%AAxteisinteligentes.pdf" TargetMode="External"/><Relationship Id="rId7" Type="http://schemas.openxmlformats.org/officeDocument/2006/relationships/hyperlink" Target="https://www.tandfonline.com/doi/abs/10.1080/00405160108688951" TargetMode="External"/><Relationship Id="rId8" Type="http://schemas.openxmlformats.org/officeDocument/2006/relationships/hyperlink" Target="https://classroom.google.com/u/1/w/MTE4MzE3MDc1NzEy/tc/MTQ3MzY0OTA3NTI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